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For this Sunday, March 3, the Today’s Issues group will have a slide show on the works of Andy Warhol.  This will follow the description in our first reading.  We will also discuss a second essay on the problem with description drug prices.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The essays are in the Feb 21 issue of the New York Review of Books: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Page 39, David Sale, “The Star of the Silent Screen,” discussing a n exhibit of Warhol’s work in New York, Chicago and San Francisco</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Page 35 David Kevles, “Why is Medication so Expensive?”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Both of these are password protected on the NYR site, so I am attaching copies: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The Star of the Silken Screen</w:t>
      </w:r>
    </w:p>
    <w:p w:rsidR="00000000" w:rsidDel="00000000" w:rsidP="00000000" w:rsidRDefault="00000000" w:rsidRPr="00000000" w14:paraId="0000000C">
      <w:pPr>
        <w:rPr/>
      </w:pPr>
      <w:r w:rsidDel="00000000" w:rsidR="00000000" w:rsidRPr="00000000">
        <w:rPr>
          <w:rtl w:val="0"/>
        </w:rPr>
        <w:t xml:space="preserve">David Salle FEBRUARY 21, 2019 ISSUE</w:t>
      </w:r>
    </w:p>
    <w:p w:rsidR="00000000" w:rsidDel="00000000" w:rsidP="00000000" w:rsidRDefault="00000000" w:rsidRPr="00000000" w14:paraId="0000000D">
      <w:pPr>
        <w:rPr/>
      </w:pPr>
      <w:r w:rsidDel="00000000" w:rsidR="00000000" w:rsidRPr="00000000">
        <w:rPr>
          <w:rtl w:val="0"/>
        </w:rPr>
        <w:t xml:space="preserve">Andy Warhol: From A to B and Back Again</w:t>
      </w:r>
    </w:p>
    <w:p w:rsidR="00000000" w:rsidDel="00000000" w:rsidP="00000000" w:rsidRDefault="00000000" w:rsidRPr="00000000" w14:paraId="0000000E">
      <w:pPr>
        <w:rPr/>
      </w:pPr>
      <w:r w:rsidDel="00000000" w:rsidR="00000000" w:rsidRPr="00000000">
        <w:rPr>
          <w:rtl w:val="0"/>
        </w:rPr>
        <w:t xml:space="preserve">an exhibition at the Whitney Museum of American Art, New York City, November 12, 2018–March 31, 2019; the San Francisco Museum of Modern Art, May 18–September 2, 2019; and the Art Institute of Chicago, October 20, 2019–January 26, 2020</w:t>
      </w:r>
    </w:p>
    <w:p w:rsidR="00000000" w:rsidDel="00000000" w:rsidP="00000000" w:rsidRDefault="00000000" w:rsidRPr="00000000" w14:paraId="0000000F">
      <w:pPr>
        <w:rPr/>
      </w:pPr>
      <w:r w:rsidDel="00000000" w:rsidR="00000000" w:rsidRPr="00000000">
        <w:rPr>
          <w:rtl w:val="0"/>
        </w:rPr>
        <w:t xml:space="preserve">Catalog of the exhibition edited by Donna De Salvo</w:t>
      </w:r>
    </w:p>
    <w:p w:rsidR="00000000" w:rsidDel="00000000" w:rsidP="00000000" w:rsidRDefault="00000000" w:rsidRPr="00000000" w14:paraId="00000010">
      <w:pPr>
        <w:rPr/>
      </w:pPr>
      <w:r w:rsidDel="00000000" w:rsidR="00000000" w:rsidRPr="00000000">
        <w:rPr>
          <w:rtl w:val="0"/>
        </w:rPr>
        <w:t xml:space="preserve">Whitney Museum of American Art, 400 pp., $70.00 (distributed by Yale University Press)</w:t>
      </w:r>
    </w:p>
    <w:p w:rsidR="00000000" w:rsidDel="00000000" w:rsidP="00000000" w:rsidRDefault="00000000" w:rsidRPr="00000000" w14:paraId="00000011">
      <w:pPr>
        <w:rPr/>
      </w:pPr>
      <w:r w:rsidDel="00000000" w:rsidR="00000000" w:rsidRPr="00000000">
        <w:rPr>
          <w:rtl w:val="0"/>
        </w:rPr>
        <w:t xml:space="preserve">In the 1970s, impecunious and unknown, the only way I could get into the legendary Studio 54 was under the sponsorship, so to speak, of someone older and more established. The velvet rope parted only one time; it wasn’t the night Bianca Jagger rode across the dance floor on a white horse, but it was close.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There was a balcony where you could go if you were seriously tripping, as I was, to get out of the mayhem. That night the rows of theater seats were empty except for a few couples making out in the back. I collapsed into a chair. When my eyes adjusted to the dark, I became aware of someone else in my row. There he was, solitary in the shadows, standing with his arms crossed and one hand to his chin, staring at the revelry below. The trademark wig, in the pulsing light of the dance floor, looked not so much silver as made of straw. He glanced at me briefly, seemed about to speak, changed his mind. I was of no interest to him, just another stoned kid.</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Art Institute of Chicago/© The Andy Warhol Foundation for the Visual Arts, Inc./Artists Rights Society (ARS) New York</w:t>
      </w:r>
    </w:p>
    <w:p w:rsidR="00000000" w:rsidDel="00000000" w:rsidP="00000000" w:rsidRDefault="00000000" w:rsidRPr="00000000" w14:paraId="00000017">
      <w:pPr>
        <w:rPr/>
      </w:pPr>
      <w:r w:rsidDel="00000000" w:rsidR="00000000" w:rsidRPr="00000000">
        <w:rPr>
          <w:rtl w:val="0"/>
        </w:rPr>
        <w:t xml:space="preserve">Andy Warhol: Mao, 1972. Acrylic, silkscreen ink, and graphite on linen, 14 feet 8½ inches x 11 feet 4½ inches.</w:t>
      </w:r>
    </w:p>
    <w:p w:rsidR="00000000" w:rsidDel="00000000" w:rsidP="00000000" w:rsidRDefault="00000000" w:rsidRPr="00000000" w14:paraId="00000018">
      <w:pPr>
        <w:rPr/>
      </w:pPr>
      <w:r w:rsidDel="00000000" w:rsidR="00000000" w:rsidRPr="00000000">
        <w:rPr>
          <w:rtl w:val="0"/>
        </w:rPr>
        <w:t xml:space="preserve">Andy Warhol combined social and pictorial intelligence in a way not seen in this country since John Singer Sargent. In one of the most unexpected artistic transformations of the last century, he found a way to make a highly synthetic, semimechanized kind of painting feel authentic. His attitude and posture, his public persona, and his forays into filmmaking and other media were radical in the world of high art, but his aesthetic inclinations were more traditional. They harked back to, and partially bridged, two widely divergent tendencies in American art: social realism and abstraction, the Yankee peddler and the Transcendentalist.</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Warhol was many things, but at heart he was a salon artist with acute instincts for social engagement. The complexity of his persona, the sociocultural upheaval of the 1960s that he helped to advance, and his impact on generations of activists and aesthetes have been discussed at length. And while central to the Warhol mythology, they are not the reason why his best paintings still pull us into their aura. We’re looking at them today because of their unique amalgamation of photographic facticity with a painterly directness and stylishness that stops just short of aggression. Warhol understood the visual power of rhythm and repetition—minimalism before it had a name. He also sensed that the relationship between content and style could be deliberately misaligned to create a new kind of pictorial irony.</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At the beginning of the 1960s, Warhol’s work looked new because of a technique new to art—the half-tone silkscreen. It was the ultimate low-to-high inversion. Screen printing uses the method by which photography’s gray scale, its range of lights and darks, is translated into a pattern of tiny dots; it’s what allows photographs to be reproduced in newspapers. The same dot pattern, expressed as tiny, pin-prick holes, can be bonded to a piece of silk, which is then stretched taut on a frame of wood or metal. When ink is forced through the silk using a rubber squeegee, the photographic image, reconstituted by the tiny dots, appears on the printed surface—in Warhol’s case, the canvas. The print can be repeated any number of times, and the amount of ink used, as well as the degree of force applied to the squeegee, will produce variations in the resulting image.</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Warhol was the first artist to grasp the potential for pattern and rhythm released by the screen-print process; it could be both mechanical and expressive at the same time. This pictorial rhythm was tied to a feature of the silkscreen: it exaggerates the contrast in a photographic image between light and dark, amplifies their power to convey a sense of form, and also makes the dark areas of a photograph feel almost animated. In a profound act of poetic equivalency, Warhol further realized that the true substance of photography is the shadow cast by and on its subject. This was the essence of his major innovation, which still reverberates today: the reciprocity between painting and printing. What was his alone was the identification with the fatalistic glamour of a shadow.</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Most importantly, the silkscreen brought the world outside the studio—the unfiltered world of headlines, of heartbreak, stardom, and catastrophe—into the heart of painting. Warhol hitched his sensibility to the values of the picture press, to hard-luck stories of exceptional bathos, and to an emotionality and sensationalism not previously welcomed into the upper echelons of art. The work got interesting when he boldly, and also a little fatalistically, tried to integrate that sensibility with the sweeping grandiosity, aloofness, and froideur of a painting by Clyfford Still or Barnett Newman. He did this by letting the weights and rhythms of the black silkscreen ink, as it accumulated or thinned out, move one’s eye through the picture at the same time that it absorbed the image. What those artists accomplished with a palette knife or a brush, Warhol approximated using his squeegee. His paintings work best when you can feel him reaching for the grandeur and clear-eyed sorrow of classical art. To these qualities he added a sweetness that was not common in formalist art, and that was all his own. The underlying drama in a painting by Warhol is the nerve and daring to say, “Why not this? Can’t this be art too?”</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Andy Warhol was born in Pittsburgh in 1928, the youngest child of Slovak emigrants. His father was a coal miner. They were poor; it was the Depression. He was a sickly, introverted, and adored child who liked movie fan magazines, the icons at his Byzantine Catholic Church, and other boys. His early flair for drawing won him a place at the Carnegie Institute of Technology, where he excelled in the traditional course of study, drawing from plaster casts and the like. After graduating in 1949, Warhol came to New York to make his name as a commercial artist.</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In the early 1950s, before photography changed the look of print advertising, illustration was used to enchant and seduce the consumer. An illustrator with a distinctive style could go far, and Warhol rapidly established himself as one who could confer wit and sophistication on consumer products. His whimsical drawing style and elegant, fanciful typography (often the work of his mother, who was, at times, a creative partner) made him a favorite of art directors and clients, and eventually led to a steady gig drawing the ads that the I. Miller Shoe Company ran weekly in The New York Times. I. Miller was Warhol’s grad school, an efficient education in how to focus the reader’s gaze and keep her from turning the page. Certain things worked, others not so much, and Warhol learned to eliminate anything that didn’t contribute to the desired effect.</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Having reached the top of the commercial art world, Warhol had a much bigger idea of his own talent, or of his own drive; his sights were always on the world of elite galleries and museums. At first he didn’t understand the difference between illustration and art—why a drawing by Jasper Johns cost so much more than one of his own. He eventually figured it out. If anything, it was a surfeit of personality that cast his work in a different, lesser light. Warhol wasn’t born cool; he became so.</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The Whitney Museum of American Art has mounted a large, mostly buoyant survey of Warhol’s immense output, “Andy Warhol: From A to B and Back Again,” and it expands our understanding of the origins and evolution of his sensibility. The exhibition presents the artist in full: he was not only, or even primarily, a painter but also, at various times, a filmmaker, magazine editor and publisher, author, illustrator, photographer, diarist, TV show host, stage designer, and political activist. The veteran curator Donna De Salvo has done a real service in examining heretofore neglected aspects of Warhol’s oeuvre: not just the films, but also his early drawings and witty erotica, the many commercial illustrations and book designs, the paintings made in collaboration with Jean-Michel Basquiat, and the late forays into abstraction. The overall impression is that throughout his life Warhol was always an exceptionally hard worker who adapted as times changed, but one who largely confined himself to the surface of life. After 1968, he produced a steady stream of paintings on any number of themes and subjects, but didn’t deeply inhabit more than a few of them, the same as most artists. He preferred to keep the carousel moving at a steady clip.</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It might be difficult, in this time of critical approbation and market adulation, to grasp just how devalued Warhol had become by the early 1980s, even among his own inner circle. In 1985, when the Saatchi Gallery opened with a small survey of 1960s paintings, Warhol’s business manager, the sartorially peerless Fred Hughes, confided to a friend that it was the first time he took Andy seriously as an artist. When Warhol died in 1987, an appreciation in The New York Times by John Russell struck a less than sanguine note: “Posterity may well decide that his times deserved him.” Parts of the art world had grown weary of the “Warholization” already underway, and some critics were pushing back. The art historian Barbara Rose had recently begun a review with this zinger: “Andy Warhol has sunk back into the commercial ooze from which he emerged.”</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If he was the artist America deserved in 1987, it now seems that each era shall have the Warhol it deserves, and the version that emerges from the Whitney show is much more up front about queer culture’s contribution to the visual arts and to the evolution of our current sensibilities. In tandem with presenting queerness as a category of experience and identity in art, the Whitney show gives us an insight into the young Warhol: Andy with a sketchbook, Andy the fan, the fashion Andy, Andy the ardent youth dreaming a life of style and erotic possibilities.</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Perhaps as a result of emphasizing the “artist as a young striver” version of Warhol’s life and times (a version he would likely have approved of), the show feels rather light on masterpieces, though it more fully fleshes out how his lifestyle informed his development. De Salvo points out the links between Warhol the precocious teenager, making charming, romantic pencil portraits of his friends, and the Pop artist who painted portraits of Coke bottles and other products.</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A large retrospective exhibition often tells a story about an artist influenced by other artists as well as the broader culture, about how and to what extent artists adapt and evolve. The story can also be about an artist’s relationship to his materials. This show’s arc is the story of line supplanted by image. Warhol’s early sensibility was expressed almost exclusively through line. He showed only passing interest in academic modeling, shading, creating volumes, relational composition, and the like. He was a display artist who thought in column inches, not in paint. The young Warhol had instead a feeling for how to style his line so that it drips with personality, and also how to use line to imply a narrative. The two qualities together define a current that, while not exactly suppressed in the macho art world of the 1960s, was hardly valorized. Today, that aspect of Warhol’s art feels irresistible, something happily passed forward to our time.</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The exhibition’s first couple of rooms reveal Warhol in possession of a great lyrical charm, to which has been added the graphic punch of superior packaging design. One wall has been given over to a salon-style hanging of twelve gold-leaf drawings of shoes from the 1950s. In these works, the shoes, some with pinched toes and high button uppers or dainty bows, feel Victorian; it’s often the case, and was especially so in the late 1950s and early 1960s, that the look of “sophistication” borrows its appeal from something antique. The drawings are hung on top of black-and-white reprints of the I. Miller ads and other drawn images that appeared in the Times—shoes on top of more shoes. The whole thing looks chic and delicious. You want to have it wrapped up and sent as a present to Eloise at the Plaza.</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Sammlung Froehlich, Leinfelden-Echterdingen, Germany/© The Andy Warhol Foundation for the Visual Arts, Inc./Artists Rights Society (ARS) New York</w:t>
      </w:r>
    </w:p>
    <w:p w:rsidR="00000000" w:rsidDel="00000000" w:rsidP="00000000" w:rsidRDefault="00000000" w:rsidRPr="00000000" w14:paraId="00000036">
      <w:pPr>
        <w:rPr/>
      </w:pPr>
      <w:r w:rsidDel="00000000" w:rsidR="00000000" w:rsidRPr="00000000">
        <w:rPr>
          <w:rtl w:val="0"/>
        </w:rPr>
        <w:t xml:space="preserve">Andy Warhol: Christine Jorgenson, 1956. Collaged metal leaf and embossed foil with ink on paper, 13 x 16 inches.</w:t>
      </w:r>
    </w:p>
    <w:p w:rsidR="00000000" w:rsidDel="00000000" w:rsidP="00000000" w:rsidRDefault="00000000" w:rsidRPr="00000000" w14:paraId="00000037">
      <w:pPr>
        <w:rPr/>
      </w:pPr>
      <w:r w:rsidDel="00000000" w:rsidR="00000000" w:rsidRPr="00000000">
        <w:rPr>
          <w:rtl w:val="0"/>
        </w:rPr>
        <w:t xml:space="preserve">Apart from his mother’s fanciful, hand-lettered script and Pennsylvania’s robust nineteenth-century folk-art tradition, the biggest influence on Warhol’s early stylized drawings was Ben Shahn, a working-class humanist who today might seem light-years from Warhol’s world but who was, at the time, one of the most popular artists in America, and who provided an example of how to bridge the gulf between fine art and illustration. Warhol’s version of Shahn’s urgent, searching—one wants to say moral—broken line was made by applying ink to wax paper and then blotting the tiny ink blobs with drawing paper, which produced a distinctive graphic insouciance in which every depicted object, even a shoe, seemed to have a pursed cupid mouth. Warhol also made elegant drawings using a ballpoint pen, which gave a more continuous, flowing line. Those drawings are, if anything, even more romantic than their ink-blot cousins, and have more in common with Jean Cocteau than with Shahn.</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As time went on, Warhol wanted something more ambitious for his art but was unsure where to look for inspiration. The show’s inclusion of his developmental years allows us to see the small jumps he made in the progression from illustrator to painter, how the fascination with the picture press and the printed page were turned into ideas about what to paint and how to paint it. So great is the sense of logical development and discovery that, walking through the first rooms of the show, we feel that we might finally learn the answer to the great mystery: How exactly did Warhol make the leap from illustrational, line-based imagery to the first silkscreen paintings? We can feel him straining at the threshold of Pop art, but we can only imagine what it must have felt like to grasp that painting and printing could be one and the same. It was subversive and liberating. It was a new kind of paintbrush.</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Almost at the same moment, Robert Rauschenberg also introduced silkscreen images into his paintings, after first seeing the large industrial screens in Warhol’s studio. He used the screens in a cubist-collage sort of way, the images often painted over or otherwise altered, and always subsumed into a larger composition. The images have a scrapbook quality to them; they are often nostalgic, even elegiac, phrases or cantos in Rauschenberg’s ongoing visual tone poem.</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Warhol, by contrast, quickly recognized the sheer graphic power as well as the transformational nature of the silkscreen image itself—how it confers on any subject a drama of light and shadow, an urgent aesthetic bounty grounded in the photographic now. Wielding the silkscreen like a shield, Warhol progressed from a graphic, outlined image to one made by a decisive drag of a big industrial squeegee. You can feel the expressive currency of the materials coming alive in his hand; the mystery of the photographer’s darkroom is invoked with each pull. Such was the galvanizing force of photography that it swamped Warhol’s hand-painted style all at once, and by late 1961 the transition was complete. It would be another twenty-five years, more or less, before he again chose drawing over photography.</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The silkscreen gave his art heft; its use at the grand scale of the New York School conferred gravitas and turned Warhol into a painter of modern life. It gave him access to an enormous range of subject matter that could be transferred quickly to the canvas, and at any scale. Movie stars, Mao, violent accidents, society portraits, skulls, pistols, flowers, ads, and much more—all were delivered up by the same technique.</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Warhol’s reliance on the silkscreen’s inherent drama is a good example of an artist turning his liabilities into an asset. His paintings are, by design, all surface, the image as thin as the layer of ink used to conjure them. They couldn’t be simpler, or, in a way, more humble. Despite, or because of, these limitations, his work from the 1960s turns out to be among the most durable painting of the last sixty years.</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For decades, Warhol’s paintings were first-class décor, a term that is in no way derogatory; apart from the image, they have gridded rhythm and great scale and often feature surprising, even sizzling color. They can be absorbing, but in a way that differs from earlier paintings. They can make any room look smart and chic, but you wouldn’t want to hang one next to a De Kooning. At the right size they have the unarguable, declarative quality we associate with major art. Sometimes their presentational decisiveness is the very thing that stops them short. (Is that all there is?)</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At their best, Warhol’s paintings connect us to a state of contemporaneity, of hipness and glamour, of being in the right place at the right time, and to a feeling of mild transgression. When you’re not in the mood to feel those things, they can strike you as manipulative, as trying too hard, or, conversely, not trying hard enough. The curator Henry Geldzahler liked to tell a story about visiting Warhol’s studio in the 1960s and observing about a painting that Andy had “left the art out,” to which Andy, droll as ever, replied, “I knew I forgot something.” Humor aside, there was something about Warhol’s working method that made the art component conditional. The art had arrived as if by magic, and it left open the possibility that it could just slip away without anyone noticing.</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Two rooms after the golden shoes, the exhibition gives us a sampling of the Death and Disaster series on which Warhol’s reputation largely rests, and which would occupy him through the amphetamine-fueled years that ended with his near-fatal shooting in 1968.These include the stellar 1963 silkscreen painting Suicide (Fallen Body), which looks like it was made from a police photograph but was in fact from a picture published in Life. With its sixteen frames, it has the implied motion of a sequence by Muybridge, with the stuttering repetitions of the image in a grid, black over silver, creating a kind of image-foam that coats the painting’s surface in inky, iridescent waves.</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In those frames we see a young woman, elegantly dressed in a dark skirt suit and white blouse, reclining on what appears, improbably, to be the hood of a car. We are looking from the top of her head, up over her body to her crossed legs, where we notice that one foot is bare. At first, the woman appears to be resting, reaching to touch a string of pearls. Her dark hair is still tastefully swept up from her unblemished forehead. There is, however, something not quite right about her pose.</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Warhol’s paintings present the glamour of celebrity on a continuum with nightmarish American imagery: grisly car crashes, electric chairs, race riots. The flashbulb equally illuminated all. His work suggests that they were in fact inextricably linked. Warhol cultivated a radical openness to this world of images, as well as the states of mind and of being that the photographs capture. This openness extends to the Race Riot paintings from 1963–1964, which, along with the suicides and other disasters from around the same time, reveal Warhol to be a trenchant social critic. His Race Riot pictures are still shocking in their casual brutality. They don’t condescend to the audience, and more than any others from that time, they bring the reality of the streets into the museum.</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Feelings of outrage and shame still emanate from Mustard Race Riot (1963), a syncopated, stacked grid of three views, made from press photos, of a stylishly turned-out black man being set upon by a police dog. The painting, in freezing the action forever, is both witness and judge: that man with his straw trilby and that cop and that dog enacting their aggrieved appointment with fate. This still strikes me as radical for an artist who consistently courted commercial success. It’s as if Jeff Koons, while turning out balloon animals and other odes to childhood, also made highly refined stainless steel sculptures of unarmed young black men being shot by police. That is something we are not likely to see.</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If Warhol had made nothing more than the Race Riot and the Death and Disaster pictures, he would still be a major figure in the history of pictorial art, but there was so much more to come. He was a disciplined artist, and the list of his painted images is long: the car crash and suicide pictures; the electric chairs; Marilyn, Elvis, Brando, and all the other stars and celebrities; the flowers; the large Maos; the skulls; the hammer-and-sickle pictures; the excellent Shadow paintings and the ads—subject matter was never Warhol’s problem. However, his method didn’t evolve much, and as the work continues through the 1970s and 1980s a sameness creeps into it.</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Like every artist, Warhol had highs and lows, periods of sustained creativity and longer periods of treading water, waiting for inspiration to strike. Or perhaps his attention was simply elsewhere—he was involved in many non-painting projects at any given time. It’s also possible that he came up against the limits inherent in his technique; the silkscreen translated everything the same way. It was mechanical, after all, which can cut both ways. The unwelcome but undeniable impression made by the Whitney show is that after the 1970s, some of the light goes out of his painting.</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Still, innovation continued until the end. In the early 1970s Warhol gave freer rein to his more painterly impulse in the colored grounds underneath the silkscreen images. His paintings of the 1970s take on a more nuanced polychrome palette and more active, vigorous brushwork. I used to think the large portraits of Mao (who was still very much alive in 1972, when Warhol began painting them), with their large blocks of color and brushwork that underlie and surround the Chairman’s countenance, were some of the best things that Warhol made. You feel him putting to work everything he knows about painting and, with their scale and stateliness, they are impressive in their combination of what the paint is doing along with the pattern of lights and darks of the silkscreen image itself. The energy of the wet-into-wet painting, alternately contained within the image and set free from it, works in frothy counterpoint to the filigree of tiny black dots that magically reconstitute the face of Mao.</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There is one Mao portrait in the Whitney show, but unfortunately it is not completely successful. At fifteen feet tall, it bridges the gaps between Abstract Expressionism, Pop irony, things-as-they-are facticity, and a technologically enhanced image: the attitude that would come to be called postmodern. But the integration of the brushstrokes with the image is not particularly acute; their scale is too small and fussy to act as a counterweight to the Chairman.</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Starting sometime in the 1970s, Warhol introduced another of his pictorial inventions. He began using a new kind of line, one made by tracing around projected images with a brush. The brush follows the conture as well as the interior shapes of an image—say, a face or the facets of a perfume bottle. Lightly loaded with black acrylic paint, it very quickly starts to go dry, producing a skipping kind of brush mark, called “dry-brush,” an update of his original blotted line drawings of the 1950s. First used as an overdrawn line on top of silkscreen images, almost like a second view of the same image, Warhol eventually allowed the brushed line to stand on its own, and finally, at the very end of his life, jettisoned the silkscreen altogether.</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The way that he traced a logo, or signage, or a version of Da Vinci’s Last Supper, or an image of Judy or Liza, was as distinctive as the silkscreen, while also achieving a more artisanal, audience-friendly, even jaunty and upbeat result. The casual-seeming brushed, traced line breathed new life into his work and made his images feel as immediate in their way as the silkscreens had felt in the 1960s. Some of the best examples appear in the Last Supper series, which were among the last things Warhol painted, though the one in the Whitney show obscures the dry-brush effect by fusing it with yet another later innovation, an all-over pattern of camouflage color.</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There were other developments in the 1980s, most importantly a group of paintings made with Jean-Michel Basquiat. Warhol and Basquiat were friends, they shared a taste for nightlife, and they also shared a dealer, Bruno Bischofberger, whose Zurich gallery was a kind of Warhol outpost and who I believe suggested the collaboration. Although dismissed at the time as a market stunt, the paintings today look vitally alive. The artists’ respective strengths are emphasized, their weaknesses shored up. Basquiat gave Warhol’s work spontaneity, polyphony, and skeins of jumpy marks full of personality; Warhol gave Basquiat structure and mainstream Americana.</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Private Collection/© Estate of Jean-Michel Basquiat. Licensed by Artestar, New York. © The Andy Warhol Foundation for the Visual Arts, Inc./Artists Rights Society (ARS), New York</w:t>
      </w:r>
    </w:p>
    <w:p w:rsidR="00000000" w:rsidDel="00000000" w:rsidP="00000000" w:rsidRDefault="00000000" w:rsidRPr="00000000" w14:paraId="0000005F">
      <w:pPr>
        <w:rPr/>
      </w:pPr>
      <w:r w:rsidDel="00000000" w:rsidR="00000000" w:rsidRPr="00000000">
        <w:rPr>
          <w:rtl w:val="0"/>
        </w:rPr>
        <w:t xml:space="preserve">Jean-Michel Basquiat and Andy Warhol: Paramount, 1984–1985. Acrylic on canvas, 76 x 105 inches.</w:t>
      </w:r>
    </w:p>
    <w:p w:rsidR="00000000" w:rsidDel="00000000" w:rsidP="00000000" w:rsidRDefault="00000000" w:rsidRPr="00000000" w14:paraId="00000060">
      <w:pPr>
        <w:rPr/>
      </w:pPr>
      <w:r w:rsidDel="00000000" w:rsidR="00000000" w:rsidRPr="00000000">
        <w:rPr>
          <w:rtl w:val="0"/>
        </w:rPr>
        <w:t xml:space="preserve">Two of their collaborations, Paramount from 1984–1985, and Third Eye from 1985, are in the Whitney exhibition, and they are by far the most energized paintings in the final galleries. Paramount is more Basquiat than Warhol; the Pop master’s contribution is a red-on-white rendition of the Paramount Studios logo, which covers roughly half the canvas. Over this, the younger artist has brushed in areas of green, salmon pink, and cadmium yellow medium—tautly calibrated colors that are overlaid and interwoven with oil-stick drawings of heads, building façades, columns of numbers, rocket ships, and the names of raw materials like sugar, iron, and lead. The whole composition is jumpy, wildly unstable; shapes and marks and images are all swimming in the same turbulent waters, along with the artists themselves.</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Artists’ reputations are always being adjusted. Time plus distance lessens the sense of urgency for artists of a younger generation. For the majority of art professionals today, Warhol’s position as an avant-garde colossus is unshakable. And much of the work of the last forty years—that of the “Pictures Generation” in particular, not to mention the art world’s ongoing appetite for painting moguls—would probably have been very different without his example. Perhaps because his legacy has entered visual culture in such a broad and commercial way, many young artists have broken free from his orbit. I have heard from some young painters just how little the whole Warhol phenomenon concerns them. One told me that for her, the Triple Elvis painting in the show, which for collectors would be a diamond as big as the Ritz, is “like wrapping paper,” that is to say, one step down from wallpaper.</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Few opinions I’ve heard have been as dismissive, and it’s not a question of right or wrong; the point is simply that all artists are subject to the vagaries of fashion. Warhol’s good early pictures are very good indeed, their originality and pictorial power still stun, but they are no more transcendent of the time in which they were made than is most other art. The later work especially is time-specific, and not always as substantial as one had remembered; it didn’t help that Warhol’s career was cut short. It’s easy to imagine another great flowering—or several—had he been granted more time. Walking through the show, especially as one gets to the later rooms with the last ten or fifteen years of work, one finds that Warhol’s style begins to seem not so much a revolution in pictorial form as simply one artist’s answer to the question of how to paint an image.</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So much of Warhol’s art was aimed at capturing a moment of social truth, be it beauty, glamour, camp, or power, in the guise of a portrait, and his assiduously cultivated portrait business partly financed his many other activities. Of the many hundreds of portraits Warhol painted over the years, special attention, even love, seems to have been given to his dealers and fellow artists: Irving Blum, Henry Geldzahler, Leo Castelli, Roy Lichtenstein, and Man Ray. In these and other portraits, Warhol shows all the sensitivity and psychological insight of a traditional portraitist. Eighty-four of the portraits are featured in a separate room of the exhibition, and it’s fun to point out the faces one recognizes, some of them friends or well-known social figures from another era: Look how young!</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There is a knot of pathos in the portraitist’s art: the sitter will never again appear as youthful, as glamorous, as desired as now. This eternal present also comes with the knowledge that it has already slipped into the past. Even Warhol’s portraits of buildings, of symbols like the hammer and sickle, the children’s toys, the perfume bottles, and of course the skulls, are memento mori. In all of these paintings and drawings, Warhol is making a connection to his beloved nineteenth-century folk art, to the theorem stencils of flowers and the embroidery sampler with its common motto: When this you see/think on me.</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Why Is Medicine So Expensive?</w:t>
      </w:r>
    </w:p>
    <w:p w:rsidR="00000000" w:rsidDel="00000000" w:rsidP="00000000" w:rsidRDefault="00000000" w:rsidRPr="00000000" w14:paraId="0000006D">
      <w:pPr>
        <w:rPr/>
      </w:pPr>
      <w:r w:rsidDel="00000000" w:rsidR="00000000" w:rsidRPr="00000000">
        <w:rPr>
          <w:rtl w:val="0"/>
        </w:rPr>
        <w:t xml:space="preserve">Daniel J. Kevles FEBRUARY 21, 2019 ISSUE</w:t>
      </w:r>
    </w:p>
    <w:p w:rsidR="00000000" w:rsidDel="00000000" w:rsidP="00000000" w:rsidRDefault="00000000" w:rsidRPr="00000000" w14:paraId="0000006E">
      <w:pPr>
        <w:rPr/>
      </w:pPr>
      <w:r w:rsidDel="00000000" w:rsidR="00000000" w:rsidRPr="00000000">
        <w:rPr>
          <w:rtl w:val="0"/>
        </w:rPr>
        <w:t xml:space="preserve">Medical Monopoly: Intellectual Property Rights and the Origins of the Modern Pharmaceutical Industry</w:t>
      </w:r>
    </w:p>
    <w:p w:rsidR="00000000" w:rsidDel="00000000" w:rsidP="00000000" w:rsidRDefault="00000000" w:rsidRPr="00000000" w14:paraId="0000006F">
      <w:pPr>
        <w:rPr/>
      </w:pPr>
      <w:r w:rsidDel="00000000" w:rsidR="00000000" w:rsidRPr="00000000">
        <w:rPr>
          <w:rtl w:val="0"/>
        </w:rPr>
        <w:t xml:space="preserve">by Joseph M. Gabriel</w:t>
      </w:r>
    </w:p>
    <w:p w:rsidR="00000000" w:rsidDel="00000000" w:rsidP="00000000" w:rsidRDefault="00000000" w:rsidRPr="00000000" w14:paraId="00000070">
      <w:pPr>
        <w:rPr/>
      </w:pPr>
      <w:r w:rsidDel="00000000" w:rsidR="00000000" w:rsidRPr="00000000">
        <w:rPr>
          <w:rtl w:val="0"/>
        </w:rPr>
        <w:t xml:space="preserve">University of Chicago Press, 334 pp., $35.00</w:t>
      </w:r>
    </w:p>
    <w:p w:rsidR="00000000" w:rsidDel="00000000" w:rsidP="00000000" w:rsidRDefault="00000000" w:rsidRPr="00000000" w14:paraId="00000071">
      <w:pPr>
        <w:rPr/>
      </w:pPr>
      <w:r w:rsidDel="00000000" w:rsidR="00000000" w:rsidRPr="00000000">
        <w:rPr>
          <w:rtl w:val="0"/>
        </w:rPr>
        <w:t xml:space="preserve">Generic: The Unbranding of Modern Medicine</w:t>
      </w:r>
    </w:p>
    <w:p w:rsidR="00000000" w:rsidDel="00000000" w:rsidP="00000000" w:rsidRDefault="00000000" w:rsidRPr="00000000" w14:paraId="00000072">
      <w:pPr>
        <w:rPr/>
      </w:pPr>
      <w:r w:rsidDel="00000000" w:rsidR="00000000" w:rsidRPr="00000000">
        <w:rPr>
          <w:rtl w:val="0"/>
        </w:rPr>
        <w:t xml:space="preserve">by Jeremy A. Greene</w:t>
      </w:r>
    </w:p>
    <w:p w:rsidR="00000000" w:rsidDel="00000000" w:rsidP="00000000" w:rsidRDefault="00000000" w:rsidRPr="00000000" w14:paraId="00000073">
      <w:pPr>
        <w:rPr/>
      </w:pPr>
      <w:r w:rsidDel="00000000" w:rsidR="00000000" w:rsidRPr="00000000">
        <w:rPr>
          <w:rtl w:val="0"/>
        </w:rPr>
        <w:t xml:space="preserve">Johns Hopkins University Press, 354 pp., $29.95</w:t>
      </w:r>
    </w:p>
    <w:p w:rsidR="00000000" w:rsidDel="00000000" w:rsidP="00000000" w:rsidRDefault="00000000" w:rsidRPr="00000000" w14:paraId="00000074">
      <w:pPr>
        <w:rPr/>
      </w:pPr>
      <w:r w:rsidDel="00000000" w:rsidR="00000000" w:rsidRPr="00000000">
        <w:rPr>
          <w:rtl w:val="0"/>
        </w:rPr>
        <w:t xml:space="preserve">Getting to the Root of High Prescription Drug Prices: Drivers and Potential Solutions</w:t>
      </w:r>
    </w:p>
    <w:p w:rsidR="00000000" w:rsidDel="00000000" w:rsidP="00000000" w:rsidRDefault="00000000" w:rsidRPr="00000000" w14:paraId="00000075">
      <w:pPr>
        <w:rPr/>
      </w:pPr>
      <w:r w:rsidDel="00000000" w:rsidR="00000000" w:rsidRPr="00000000">
        <w:rPr>
          <w:rtl w:val="0"/>
        </w:rPr>
        <w:t xml:space="preserve">a report by Henry Waxman and others</w:t>
      </w:r>
    </w:p>
    <w:p w:rsidR="00000000" w:rsidDel="00000000" w:rsidP="00000000" w:rsidRDefault="00000000" w:rsidRPr="00000000" w14:paraId="00000076">
      <w:pPr>
        <w:rPr/>
      </w:pPr>
      <w:r w:rsidDel="00000000" w:rsidR="00000000" w:rsidRPr="00000000">
        <w:rPr>
          <w:rtl w:val="0"/>
        </w:rPr>
        <w:t xml:space="preserve">July 10, 2017</w:t>
      </w:r>
    </w:p>
    <w:p w:rsidR="00000000" w:rsidDel="00000000" w:rsidP="00000000" w:rsidRDefault="00000000" w:rsidRPr="00000000" w14:paraId="00000077">
      <w:pPr>
        <w:rPr/>
      </w:pPr>
      <w:r w:rsidDel="00000000" w:rsidR="00000000" w:rsidRPr="00000000">
        <w:rPr>
          <w:rtl w:val="0"/>
        </w:rPr>
        <w:t xml:space="preserve">Available online at www.commonwealthfund.org</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Peter Foley/Bloomberg/Getty Images</w:t>
      </w:r>
    </w:p>
    <w:p w:rsidR="00000000" w:rsidDel="00000000" w:rsidP="00000000" w:rsidRDefault="00000000" w:rsidRPr="00000000" w14:paraId="0000007A">
      <w:pPr>
        <w:rPr/>
      </w:pPr>
      <w:r w:rsidDel="00000000" w:rsidR="00000000" w:rsidRPr="00000000">
        <w:rPr>
          <w:rtl w:val="0"/>
        </w:rPr>
        <w:t xml:space="preserve">Martin Shkreli, the former head of Turing Pharmaceuticals, outside the federal courthouse in Brooklyn after he was found guilty of fraud, August 2017</w:t>
      </w:r>
    </w:p>
    <w:p w:rsidR="00000000" w:rsidDel="00000000" w:rsidP="00000000" w:rsidRDefault="00000000" w:rsidRPr="00000000" w14:paraId="0000007B">
      <w:pPr>
        <w:rPr/>
      </w:pPr>
      <w:r w:rsidDel="00000000" w:rsidR="00000000" w:rsidRPr="00000000">
        <w:rPr>
          <w:rtl w:val="0"/>
        </w:rPr>
        <w:t xml:space="preserve">The prominence of high drug prices among current American grievances derives from three recent episodes. In 2014 Gilead Sciences brought out Sovaldi, a drug that cures hepatitis C within twelve weeks but costs $1,000 a pill, making the price of a full course of treatment $84,000. In 2015 Turing Pharmaceuticals, a new company headed by Martin Shkreli, a hedge-fund manager, acquired Daraprim, the sole treatment available in the United States for a life-threatening parasitic infection, and raised the price per tablet from $13.50 to $750. (Shkreli is now serving a prison sentence for fraud unrelated to drug prices.) And in 2016 Mylan Pharmaceuticals, which had a stranglehold on the market for EpiPens (used to counter allergic shock), began selling them wholesale for $284 apiece, a 600 percent increase over the wholesale price in 2007, and offering them only in packages of two.1</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The three companies appeared to be emblematic of the entire pharmaceutical industry. Between 2008 and 2016, the price of new prescription drugs doubled, and the cost of some older drugs rose many times faster than the annual inflation rate.2 A significant number of Americans, especially seniors, reportedly could not afford their medications.</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Mounting public anger forced prescription drug prices onto the nation’s political agenda. During the 2016 presidential campaign, Hillary Clinton proclaimed that the prices for some drugs were “outrageous,” and Donald Trump attacked drug companies for “getting away with murder.” During his first year in office, Trump’s condemnations of the drug industry subsided, no doubt in response to the influence of his secretary of health and human services, Alex Azar, the former president of the American division of the Eli Lilly Corporation. But in his State of the Union Address in January 2018, Trump pledged that he would bring the costs of prescription drugs down “substantially.”3 On May 11, 2018, Trump proposed an overall policy for “Putting American Patients First,” which he supplemented with a more specific “blueprint” posted on the White House website. Though the document proposed a few regulatory measures, its overall thrust was that drug prices could be curbed by free-market forces. At the end of May, Trump claimed that some of the largest pharmaceutical firms would enact “voluntary massive drops in prices” within two weeks. That was news to the drug companies, whose leaders had planned no such action. Pressured by the Trump administration, a number of major companies, among them Pfizer, Novartis, and Merck, promised to keep their prices steady for the rest of the year.4</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In late October, however, just before the congressional elections, Azar declared to reporters that high prices constituted “the greatest possible barrier to patient access.” Democratic strategists gave prescription drug prices high priority in congressional campaigns.5 Yet leaders in both parties understood that curbing prices would be no easy task. The pharmaceutical industry, which has long deployed one of the most powerful lobbies in Washington, was increasing its representation in the capital.6</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No less important, prescription drug pricing, like health care in general, was bewilderingly complex. While the people who run Gilead and Turing may have been worlds apart in character and competence, the companies’ pricings were enabled by the same intricate system of laws, FDA regulations, and dispensing programs, including public and private insurers, that mediate between them and their customers. The system, largely unplanned, is a patchwork product of history, vulnerable to manipulation by the pharmaceutical industry.</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Through much of the nineteenth century, as the historian Joseph Gabriel observes in his immensely informative book Medical Monopoly, drug monopolies were largely blocked by patent law and by an ethical code that both physicians and even a number of drug companies embraced. Monopolies could in principle be obtained through patents, but most medicines then consisted of plants, which, along with their extracts, were considered ineligible for patents because they were made by nature rather than by man. Medicinal fabricators nevertheless packaged and bottled a variety of concoctions composed of minerals, metals, and even plants and sold them in shops as “patent” medicines, although most were not legally patented. They protected their products from competitors by keeping the ingredients secret.7</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“Orthodox physicians,” to use Gabriel’s term, disparaged patent medicine men as quacks and charlatans. They castigated the secrecy surrounding the patent-medicine enterprise, arguing that it prevented physicians from knowing if the ingredients were inferior or dangerous. And they decried monopolies in medicine as pernicious restrictions on accessibility of treatment that privileged profit over the welfare of patients. When what came to be the American Medical Association was established in 1847, the founders adopted a code of ethics that declared it “inconsistent with beneficence and professional liberality” to patent a medicine or prescribe a medicine that was patented, associating such medicines with “disgraceful ignorance, or fraudulent avarice.” Some drug producers—the “ethical” branch of the nascent business, as Gabriel calls it—self-consciously aligned themselves with these norms. They tended not to seek legal patents even on chemically based medicines, which were eligible.</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During the half-century after the Civil War, however, the drug business proliferated with new firms, including ethical adherents such as Parke, Davis &amp; Co. and Eli Lilly &amp; Co. The establishment of federal trademark law in 1870 meant that companies could protect their products in the market by trademarking their brand names while keeping the contents secret. Ethical firms disapproved of trademarked drugs, and so did physicians and pharmacists, for much the same reasons that they condemned patented medicines, including secrecy and high prices—“double that which any reputable pharmacist would prepare it for,” a physician complained.</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But the ethical firms began to find themselves disadvantaged by their ethics. The multiplication of firms increased competition and placed a premium on the production of new remedies. Companies began to establish laboratories for drug research and development, a trend led by Parke, Davis &amp; Co. The firm came to see that in the absence of patent protection for its products, other companies could compete against it using its own innovations.</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This disadvantage was worsened by the entrance into pharmaceutical manufacturing of chemical firms, which had no history of engagement with the medical profession and its ethical resistance to patents. For them, patents were a natural part of business. Beginning in the late nineteenth century, German companies such as Bayer, exploiting their formidable capacity in organic chemistry, produced, patented, and sold in the American market powerfully effective drugs, notably aspirin.</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In these new circumstances, the ethical drug companies embraced patents on their products and trademarks on their brands. Physicians increasingly recognized the incentive to innovation that patents provided, the benefits of public disclosure of formulas and ingredients, and the growing identification of patented drugs with efficacy. They also welcomed trademarked brand names as an indicator of a medication’s quality and reliability. The 1906 Pure Food and Drug Act and its 1912 amendment, which were intended to safeguard consumers from dangerous products in part by requiring the disclosure of a drug’s ingredients, also, as Gabriel points out, protected drug manufacturers from competition by producers who falsely or misleadingly described their products’ contents, or who kept them secret.</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In 1912 the AMA revised what it now called its “Principles of Medical Ethics,” making it acceptable for physicians to patent their innovations as long as they did not profit from them. Between the wars, universities patented biomedically effective discoveries made in their laboratories, not primarily to make money but, through licensing, to control their use for public good.8 Royalties from the licenses were generally used to support academic programs, but in Gabriel’s judgment, physicians also collaborated with manufacturers “to advance both the cause of science and their own personal careers. The pursuit of individual interest, the creation of corporate profit, and the battle against disease were increasingly intertwined.”</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Those pursuits were further joined in 1980, early in the era of genetic engineering, when in the Bayh–Dole Act Congress authorized universities—the centers of research into recombinant DNA—to patent and license useful results that might emerge from federally funded investigations in their laboratories. Many research universities and a number of their scientists soon entered into an alliance with the drug industry in profit-minded pursuit of innovation.9</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In the 1950s reformers advocated for addressing high prescription drug prices—a public-sector issue—with a private-sector solution: competition from generic drugs, i.e., drugs that are copies of originals or that are composed of the same active ingredients and are functionally their equivalents. Established companies selling brand-name products resisted this proposal, as the physician and historian Jeremy Greene shows in his deeply knowledgeable Generic: The Unbranding of Modern Medicine. Likening generics to the adulterated foods in Upton Sinclair’s The Jungle, such companies obtained passage of laws in forty states prohibiting pharmacists from dispensing anything other than brand-name drugs.</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The creation of Medicare and Medicaid in 1965 helped turn the tide. Both programs called for the use of generics wherever possible, and, increasingly, so did health maintenance organizations and private insurance plans. Beginning in the late 1970s, the consumer movement helped overturn the anti-substitution laws. By 1984, all fifty states plus Washington, D.C., had passed legislation favoring, and in some cases requiring, the use of generics in place of brand-name drugs.</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The growth of the generics industry was also aided by a shift in FDA policy. In 1962, after a crisis over birth defects caused by the West German drug thalidomide, Congress required applicants for FDA approval of new drugs to demonstrate that the drugs were not only safe but also effective. Obtaining approval for a drug, even a generic, now required the filing of a New Drug Application that included data from clinical trials demonstrating that it met both requirements. Would-be generic manufacturers were generally unwilling to go to the expense of clearing that bar. But in 1969 James Goddard, the head of the FDA, dealt with the obstacle by establishing an “Abbreviated New Drug Application” (ANDA), which permitted the generic applicant to qualify for approval by using the clinical trial data accumulated by the drug’s original creator and showing that its product was the original drug’s chemical and biological equivalent.</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Supporters of pharmaceutical innovation, drug patents, and generic competitiveness achieved the passage in 1984 of the Hatch–Waxman Act, cosponsored by Senator Orrin Hatch of Utah, a Republican and a vigorous advocate of the pharmaceutical industry, and Congressman Henry Waxman, a Democrat from California and a staunch proponent of consumer interests. The drug industry had long complained that the commercial life of its patents was effectively shortened by the several years required to achieve FDA approval for a new drug. To restore the patent to de facto full life, the act granted new drugs a period of “data exclusivity,” five to seven years from the time they were approved, depending on the drug’s type and/or class of patients. The FDA could not approve an ANDA for a generic that used the originator’s trial data until the end of that period.10</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Magnum Photos</w:t>
      </w:r>
    </w:p>
    <w:p w:rsidR="00000000" w:rsidDel="00000000" w:rsidP="00000000" w:rsidRDefault="00000000" w:rsidRPr="00000000" w14:paraId="0000009F">
      <w:pPr>
        <w:rPr/>
      </w:pPr>
      <w:r w:rsidDel="00000000" w:rsidR="00000000" w:rsidRPr="00000000">
        <w:rPr>
          <w:rtl w:val="0"/>
        </w:rPr>
        <w:t xml:space="preserve">Chicago, 1947; photograph by Wayne Miller</w:t>
      </w:r>
    </w:p>
    <w:p w:rsidR="00000000" w:rsidDel="00000000" w:rsidP="00000000" w:rsidRDefault="00000000" w:rsidRPr="00000000" w14:paraId="000000A0">
      <w:pPr>
        <w:rPr/>
      </w:pPr>
      <w:r w:rsidDel="00000000" w:rsidR="00000000" w:rsidRPr="00000000">
        <w:rPr>
          <w:rtl w:val="0"/>
        </w:rPr>
        <w:t xml:space="preserve">Hatch–Waxman provided broad encouragement to generics by authorizing quick and straightforward approval of ANDAs that did not run afoul of an originator’s patents. In a procedural category dubbed paragraph IV, it also encouraged generic applicants to challenge an originator’s patents that it considered invalid or weak. The challenger risked having to fight an infringement suit from the originator, but if the originator lost the suit or declined to sue, the first challenger stood to gain FDA approval and be rewarded with 180 days of “market exclusivity” against any other generic competitors.11 It would thus share the market only with the originator for six months, during which monthly revenues might be tens of millions of dollars.</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t xml:space="preserve">Hatch–Waxman accelerated the growth of the generic industry. So did private insurers, which favored generics in their reimbursement policies, state substitution laws, and revisions to Medicaid and Medicare; both programs hugely boosted demand for brand-name and generic drugs alike. Although the states were not required to provide drug coverage to Medicaid outpatients, all did (and still do); since 1990 the program has included federally mandated rebates from the average price of brand-name drugs. Medicare Part B had been paying the drug costs of patients in hospitals and clinics. In 2003 Congress established Medicare Part D, which extended coverage to outpatients beginning in 2006. Generics, which in 1984 comprised almost 19 percent of filled prescriptions, now account for about 90 percent, and sell for 80 to 90 percent below brand-name prices.12</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The 1980s marked the beginning of a new generation of drugs, including monoclonal antibodies and cancer therapies such as Humira and Herceptin. These are called “biologicals” because they are manufactured using the biological dynamics of living organisms such as bacteria and because they are made up of molecules more than twenty times larger than those resulting from chemical synthesis such as Lipitor or Prozac. Biologicals are expensive to manufacture, defy precise physical and chemical description, and are difficult to reproduce without detailed command of their methods of production. Companies therefore opted in the main to protect their intellectual property in biologicals by patenting not the products but the methods used to make them, while—in the vein of the patent- medicine men—maintaining knowledge of parts of the process as proprietary secrets.</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Faced with the difficulty of reproducing biologicals, the generics industry aimed to devise substitutes for them called “biosimilars”—drugs that closely resemble them and perform similar therapeutic functions. The generics industry pressed the FDA to establish an ANDA option for biosimilars, rightly pointing out that biologicals were fast becoming the most expensive part of the prescription drug market. The brand-name innovators fought the initiative. They were eschewing patents on biologicals as products, and their patents on the methods of producing them, which were imprecise, would be difficult to defend in court against biosimilar competitors.</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Greene notes that the weakness of the patent protections turned the attention of originators to the protective period of data exclusivity. If biosimilars could gain FDA approval through the ANDA process after at most five years of data exclusivity, the innovators of biologicals would have little time to reap returns they counted as adequate on the costs of developing them. In 2009 Congress enacted a compromise within the Affordable Care Act. Titled the Biologics Price Competition and Innovation Act, the measure granted original biologicals the extended protection of twelve years of data exclusivity. And it established two routes to ANDA approvals of biogenerics—a straightforward one for biosimilars as such, but a far more expensive and demanding one, requiring clinical trials, for biosimilars that claimed complete therapeutic interchangeability with the original drug.</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All the while, the brand-name branch of the pharmaceutical industry continued its war against generics, resorting to a variety of strategies. A number of companies marketed cheaper versions of their own brand-name drugs after the patents on them had expired, relying on advertising and reputation to outsell current or prospective competitors. Some—including Shkreli—restricted the distribution of their drugs to keep them out of the hands of would-be generic competitors, denying them access to the knowledge that would enable replication. Still others exploited Hatch–Waxman to delay competition by filing infringement suits against paragraph IV applicants, which automatically postpones approval of the generic—and extends the monopoly of the original—for up to thirty more months.13</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t xml:space="preserve">In recent years the pharmaceutical industry has sought to thwart competition from biosimilars and has persuaded the legislatures of a number of states to prohibit their substitution for biologicals unless they qualify as interchangeable.14 It has staunchly defended the twelve-year period of data exclusivity for biologicals, even though the period is shorter in every other pharmaceutical-producing country. And a number of companies have refused to provide samples of their biologicals or information concerning their manufacture to would-be biosimilar producers.</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t xml:space="preserve">More than two hundred brand-name drugs are currently without generic alternatives. The main reason, it seems, is that the market for the drugs is too small to attract or sustain generic producers. This enables single suppliers to gouge their customers.15 Some generic companies have also engaged in anticompetitive behavior, including price-fixing.</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t xml:space="preserve">Henry Waxman retired from Congress in 2015 but as the president of Waxman Strategies, his lobbying and communications firm, remains engaged in encouraging drug innovation while curbing the rise in prices. Perhaps no one knows the intricate interplay of public and private prescription drug policy better than Waxman, who dealt with the subject through much of his fifteen terms in Congress. His 2017 report, Getting to the Root of High Prescription Drug Prices—coauthored with his colleagues Bill Corr, Kristi Martin, and Sophia Duong—is temperate in tone and authoritative in content. It scrutinizes the pharmaceutical industry, health care programs—Medicaid, Medicare, the Veterans Administration, private insurers—price negotiators, pharmacies, and both insured and uninsured consumers. It merits attention not least because it takes this patchwork system as a whole, identifies the connections between its disparate elements and skyrocketing drug costs, and offers a variety of solutions for excessive pricing.</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t xml:space="preserve">The report holds that the principal price drivers are, for post-patent drugs, the de facto monopolies produced by the failure of markets to enable or attract competitors, and, for new brand-name drugs, the monopolies that result from the patents that cover them, from Hatch–Waxman’s grant of data exclusivity, and from the originator’s patenting additional clinical uses for the drug, which brings data exclusivity for an additional three years. All told, innovators of new small-molecule drugs enjoy on average almost thirteen years of effective market monopoly.16 While brand-name drugs account for only 10 percent of prescription drug fulfillments, they command 72 percent of drug spending. Waxman alludes to the measure he coauthored: “US prescription drug pricing over the past decade reflects a distortion of the policies enacted by Congress to balance innovation and price competition and to enable access to affordable medicine.”</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Gallerie dell’Accademia, Venice</w:t>
      </w:r>
    </w:p>
    <w:p w:rsidR="00000000" w:rsidDel="00000000" w:rsidP="00000000" w:rsidRDefault="00000000" w:rsidRPr="00000000" w14:paraId="000000B6">
      <w:pPr>
        <w:rPr/>
      </w:pPr>
      <w:r w:rsidDel="00000000" w:rsidR="00000000" w:rsidRPr="00000000">
        <w:rPr>
          <w:rtl w:val="0"/>
        </w:rPr>
        <w:t xml:space="preserve">Pietro Longhi: The Apothecary, circa 1752</w:t>
      </w:r>
    </w:p>
    <w:p w:rsidR="00000000" w:rsidDel="00000000" w:rsidP="00000000" w:rsidRDefault="00000000" w:rsidRPr="00000000" w14:paraId="000000B7">
      <w:pPr>
        <w:rPr/>
      </w:pPr>
      <w:r w:rsidDel="00000000" w:rsidR="00000000" w:rsidRPr="00000000">
        <w:rPr>
          <w:rtl w:val="0"/>
        </w:rPr>
        <w:t xml:space="preserve">Not only do the brand-name originators—“pioneers,” to use Waxman’s word—launch their drugs at high prices; some also raise prices without in any way improving their products. The Veterans Administration and Medicaid may lower these prices with federally mandated rebates, but the rebates are subtracted from the average of brand-name list prices. Medicare Part D, which in 2016 covered between 29 and 35 percent of annual prescription drug costs, also begins with brand-name list prices, but when Congress established the program, the pharmaceutical industry successfully lobbied to prohibit the federal government from negotiating on behalf of Part D recipients.17 Negotiations for the program are conducted instead by a handful of private companies, through their pharma benefit managers (PBMs). The PBMs deal with both brand-name and generic drugs, and they perform the same function for many private insurance firms. They obtain discounts and rebates from the list prices, and in principle pass on most of the savings to purchasers.</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t xml:space="preserve">Critics contend that Part D prices would be much cheaper if the federal government negotiated them directly with the manufacturers.18 Spokespeople for the drug industry counter that they are nonetheless negotiated, pointing to the PBMs. But the PBMs keep some unknown portion of the discounts and rebates for themselves and for private insurers, and the entire process is cloaked in secrecy. To reveal any of it, the parties say, would jeopardize the security of proprietary information. The public, including the government, thus has no knowledge or oversight, let alone control, of the disposition of the billions of dollars paid each year into Medicare Part D by its enrollees and the government itself.</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The pharmaceutical industry and its advocates justify high initial prices by pointing to the social value of the new drugs—that is, what patients, hospitals, employers, and the government save because they don’t have to cover the long-term cost of treating illness.19 They also defend them on the grounds that companies need substantial revenues to pay for the research and development—estimated by the drug industry at $2.6 billion or more per successful innovation—required to devise new drugs and see them through clinical trials to FDA approval.20</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The drugs do generate long-term value—better, for example, to be cured of hepatitis C by taking pills for twelve weeks than to suffer the extended pain and costs of a liver transplant—but it is questionable, to say the least, that the social savings should accrue to private suppliers. That rationale gains a hearing only because the industry’s products enjoy, at least for a while, the monopoly of a patent. (The Waxman report tacitly rejects the value-pricing argument by simply ignoring it.)</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t xml:space="preserve">In principle the need to fund drug development is fair enough, but drug prices in general bear little relation to the costs, and value pricing bears none. And as Waxman’s report points out, some highly profitable drugs—for example, the cancer drug Taxol, which has earned billions—were originally devised in academic laboratories with considerable federal support and only then patented and licensed to private companies. The Waxman report also notes that the drug industry spends at least as much on advertising as it does on research and development.</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t xml:space="preserve">Waxman’s solutions address the system that drives the drug-price juggernaut. So, though in a more piecemeal fashion, do the remedies President Trump has proposed in his blueprint and the months since. In many respects, however, the two plans are a study in contrast, Waxman’s relying far more than Trump’s on public intervention. Trump and Waxman both call for promoting competition through generics by, as Trump puts it, taking “steps to end the gaming of regulatory and patent processes by drug makers to unfairly protect monopolies.” Both urge accelerating the approval of biosimilars.</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t xml:space="preserve">Both address the exclusivity features of Hatch–Waxman, but here Waxman goes further than Trump: he calls for reducing the data exclusivity period for biologicals to seven years and ending all periods of data exclusivity once a pioneer has recouped some adequate “multiple”—he does not say how large—of its investment in developing the drug, and for abolishing the thirty-month postponement of approval for paragraph IV ANDA applicants and the 180-day period of market exclusivity awarded the first such applicant. Both urge that drug advertisements include price information—in October the Trump administration proposed regulations to that effect—and Waxman calls for them also to include comparisons with alternative drugs so that patients can make more informed decisions about their purchases.21</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t xml:space="preserve">Waxman calls for authorizing Medicare to negotiate Part D drug prices directly with manufacturers and open the process to public scrutiny and oversight.22 Contrary to his campaign promises, Trump does not. Rather, he resorts to fixing the privately controlled system by requiring PBMs to strengthen their negotiating power with drug makers and to pass their rebates directly on to consumers. In October Trump signed a bipartisan bill banning “gag rules”—a condition of sale whereby PBMs and insurers prohibit pharmacists from informing patients of suitable drugs that are not covered by their insurance plans but are cheaper than those that are.23 He also wants to limit price increases to the inflation rate and provide low-income seniors with free generics.</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t xml:space="preserve">Trump’s proposals largely ignore market failures. Waxman aims to counter them by establishing federal incentives for the development of additional domestic producers and by allowing the importation of cheaper drugs vetted for safety and efficacy. Trump contemplates importing drugs that are substitutes for those produced by a single, price-gouging supplier that are not covered by patents or grants of exclusivity. Waxman wants to compel drug manufacturers to provide samples and manufacturing information to would-be generic and biosimilar producers. Trump does not.24</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t xml:space="preserve">Neither Trump nor Waxman addresses more than obliquely the elephant in the room: the prices of new drugs at launch and through the monopolistic years after their sale has been approved. In keeping with Trump’s nationalist aim of putting American patients first, his blueprint declares that the United States should pressure foreign governments to raise their drug prices. The strategy aims to force foreigners to pay a fairer share of drug development costs now borne mainly by the United States. The expectation, implausible on its face, is that American companies, by earning more abroad, would reduce prices at home. In late October, in a preelection attempt at plausibility, Trump announced that his administration was “taking aim at the global freeloading” by proposing that the US government tie the amount it pays for drugs under Medicare B to their cost in other countries, phasing in the shift over five years. American pharmaceutical companies, he declared, had too long “rigged the system” against American consumers.25</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t xml:space="preserve">Waxman calls on the government to require reasonable prices for brand-name drugs developed with the results of federally funded research. He finds authority for that proposal in the Bayh–Dole Act, which obligates the government to ensure that innovations arising from such research are made “available to the public on reasonable terms.”26</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t xml:space="preserve">Following the Democratic victory in the House in November, Trump declared that he looked forward to collaborating with Nancy Pelosi to ensure affordable drug prices. But Trump’s blueprint, despite its expansion since it was first released, tended to leave the pharmaceutical industry largely unscathed; one might say that it put the industry, not patients, first. At the beginning of this year, drug companies announced price hikes averaging close to 7 percent on hundreds of medications.27 Democratic legislative initiatives, some of them borrowing from Waxman’s playbook, authorize Medicare to negotiate prices directly with drug companies and abolish the tax deductibility of drug-advertising costs. A measure coauthored by Senator Bernie Sanders empowers the secretary of health and human services to strip a company of its drug patents if the secretary determines that its prices are too high. Amid mounting evidence that a cartel of generic companies had been driving up prices on three hundred drugs, Senator Elizabeth Warren introduced a bill enabling the government to manufacture drugs in cases where competition is nonexistent or suppressed and prices are exorbitant.</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t xml:space="preserve">Congressman Elijah Cummings, a stalwart critic of the drug industry and now chair of the House Committee on Oversight and Reform, has opened a sweeping investigation into the pricing practices of major pharmaceutical companies. Even Senator Mitch McConnell declared on election day, “I can’t imagine [drug pricing] won’t be on the agenda.” Yet a number of House Democrats have close ties to the pharmaceutical industry, and so do many Republicans, and any efforts at reform will be challenged fiercely by the PBMs and the pharmaceutical industry.28 It would be foolhardy amid the profit-hungry standards and culture of contemporary capitalism to expect the drug industry and its allies in medicine and academia to recommit to anything resembling the ethical code of the nineteenth century. Nor would it be beneficial, practical, or legal to deprive the system of financial incentives to produce new efficacious drugs.</w:t>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t xml:space="preserve">But recall that in the early decades of industrial capitalism, Americans enlisted the government to ensure that the private engines of economic growth better served the public interest. Waxman is hardly alone in thinking that, given the formidable power of the drug industry, mainly private-sector solutions to the public-welfare problem of ever-rising prescription drug prices are inadequate. Polls have revealed that his major proposals for reform enjoy widespread public support. The current system deprives millions of people of the drugs they need, and, as Waxman says, it is helping to make health care costs in the United States “unsustainable.”</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t xml:space="preserve">1</w:t>
      </w:r>
    </w:p>
    <w:p w:rsidR="00000000" w:rsidDel="00000000" w:rsidP="00000000" w:rsidRDefault="00000000" w:rsidRPr="00000000" w14:paraId="000000D4">
      <w:pPr>
        <w:rPr/>
      </w:pPr>
      <w:r w:rsidDel="00000000" w:rsidR="00000000" w:rsidRPr="00000000">
        <w:rPr>
          <w:rFonts w:ascii="Arial Unicode MS" w:cs="Arial Unicode MS" w:eastAsia="Arial Unicode MS" w:hAnsi="Arial Unicode MS"/>
          <w:rtl w:val="0"/>
        </w:rPr>
        <w:t xml:space="preserve">Bill Berkrot, “Gilead Put Profit Ahead of Hepatitis C Patients: U.S. Senate Report,” Reuters, December 1, 2015; Alison Kodjak, “Discounts Aren’t Enough to Halt Outrage at High EpiPen Prices,” NPR, August 25, 2016; Elisabeth Rosenthal, “The Soaring Cost of a Simple Breath,” The New York Times, October 12, 2013; Elisabeth Rosenthal, “The Lessons of EpiPens: Why Drug Prices Spike, Again and Again,” The New York Times, September 2, 2016; Alex Philippidis, “Politics, Pricing, and Patent-Fighting Mark Drama-Filled Year,” GEN, December 29, 2016.  ↩</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t xml:space="preserve">2</w:t>
      </w:r>
    </w:p>
    <w:p w:rsidR="00000000" w:rsidDel="00000000" w:rsidP="00000000" w:rsidRDefault="00000000" w:rsidRPr="00000000" w14:paraId="000000D7">
      <w:pPr>
        <w:rPr/>
      </w:pPr>
      <w:r w:rsidDel="00000000" w:rsidR="00000000" w:rsidRPr="00000000">
        <w:rPr>
          <w:rFonts w:ascii="Arial Unicode MS" w:cs="Arial Unicode MS" w:eastAsia="Arial Unicode MS" w:hAnsi="Arial Unicode MS"/>
          <w:rtl w:val="0"/>
        </w:rPr>
        <w:t xml:space="preserve">For exemplary details, see Elisabeth Rosenthal, An American Sickness: How Healthcare Became Big Business and How You Can Take It Back (Penguin, 2017), reviewed in these pages by Jerome Groopman and Pamela Hartzband, July 13, 2017.  ↩</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t xml:space="preserve">3</w:t>
      </w:r>
    </w:p>
    <w:p w:rsidR="00000000" w:rsidDel="00000000" w:rsidP="00000000" w:rsidRDefault="00000000" w:rsidRPr="00000000" w14:paraId="000000DA">
      <w:pPr>
        <w:rPr/>
      </w:pPr>
      <w:r w:rsidDel="00000000" w:rsidR="00000000" w:rsidRPr="00000000">
        <w:rPr>
          <w:rFonts w:ascii="Arial Unicode MS" w:cs="Arial Unicode MS" w:eastAsia="Arial Unicode MS" w:hAnsi="Arial Unicode MS"/>
          <w:rtl w:val="0"/>
        </w:rPr>
        <w:t xml:space="preserve">David Lazarus, “Trump Once Again Vows to Lower Drug Prices, and Once Again You Shouldn’t Believe Him,” Los Angeles Times, February 1, 2018.  ↩</w:t>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t xml:space="preserve">4</w:t>
      </w:r>
    </w:p>
    <w:p w:rsidR="00000000" w:rsidDel="00000000" w:rsidP="00000000" w:rsidRDefault="00000000" w:rsidRPr="00000000" w14:paraId="000000DD">
      <w:pPr>
        <w:rPr/>
      </w:pPr>
      <w:r w:rsidDel="00000000" w:rsidR="00000000" w:rsidRPr="00000000">
        <w:rPr>
          <w:rFonts w:ascii="Arial Unicode MS" w:cs="Arial Unicode MS" w:eastAsia="Arial Unicode MS" w:hAnsi="Arial Unicode MS"/>
          <w:rtl w:val="0"/>
        </w:rPr>
        <w:t xml:space="preserve">“President Donald J. Trump’s Blueprint to Lower Drug Prices,” May 11, 2018; Sarah Karlin, “Trump’s Health Chief Suggests ‘Massive’ Drug Price Cuts not Imminent,” Politico, June 12, 2018; Robert Pear, Trump Officials Warn Big Drug Companies About Swelling Prices,” The New York Times, July 24, 2018; Ed Silverman, “Pricing Pledges from Drug Makers Include Plenty of Fine Print,” STAT+, July 23, 2018.  ↩</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t xml:space="preserve">5</w:t>
      </w:r>
    </w:p>
    <w:p w:rsidR="00000000" w:rsidDel="00000000" w:rsidP="00000000" w:rsidRDefault="00000000" w:rsidRPr="00000000" w14:paraId="000000E0">
      <w:pPr>
        <w:rPr/>
      </w:pPr>
      <w:r w:rsidDel="00000000" w:rsidR="00000000" w:rsidRPr="00000000">
        <w:rPr>
          <w:rFonts w:ascii="Arial Unicode MS" w:cs="Arial Unicode MS" w:eastAsia="Arial Unicode MS" w:hAnsi="Arial Unicode MS"/>
          <w:rtl w:val="0"/>
        </w:rPr>
        <w:t xml:space="preserve">Sarah Karlin-Smith, “Prescription Pulse,” Politico, June 25, 2018; Lev Facher, “Drug Pricing Could Be A Slam-Dunk Campaign Issue for Democrats—If Only They Had A Plan,” Stat, August 8, 2018; Lev Facher, “Eight Midterm Races Putting Pharma—and Its Influence—Front and Center,” Stat, October 19, 2018.  ↩</w:t>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t xml:space="preserve">6</w:t>
      </w:r>
    </w:p>
    <w:p w:rsidR="00000000" w:rsidDel="00000000" w:rsidP="00000000" w:rsidRDefault="00000000" w:rsidRPr="00000000" w14:paraId="000000E3">
      <w:pPr>
        <w:rPr/>
      </w:pPr>
      <w:r w:rsidDel="00000000" w:rsidR="00000000" w:rsidRPr="00000000">
        <w:rPr>
          <w:rFonts w:ascii="Arial Unicode MS" w:cs="Arial Unicode MS" w:eastAsia="Arial Unicode MS" w:hAnsi="Arial Unicode MS"/>
          <w:rtl w:val="0"/>
        </w:rPr>
        <w:t xml:space="preserve">Lev Facher, “Number of Drug Makers Lobbying Congress on Pricing Issues Skyrockets,” Stat, June 21, 2018; Nicholas Florko, “Trump’s New Drug Pricing Proposals Have Already Sparked a War of Words with the Drug Industry,” Stat, October 25, 2018.  ↩</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t xml:space="preserve">7</w:t>
      </w:r>
    </w:p>
    <w:p w:rsidR="00000000" w:rsidDel="00000000" w:rsidP="00000000" w:rsidRDefault="00000000" w:rsidRPr="00000000" w14:paraId="000000E6">
      <w:pPr>
        <w:rPr/>
      </w:pPr>
      <w:r w:rsidDel="00000000" w:rsidR="00000000" w:rsidRPr="00000000">
        <w:rPr>
          <w:rFonts w:ascii="Arial Unicode MS" w:cs="Arial Unicode MS" w:eastAsia="Arial Unicode MS" w:hAnsi="Arial Unicode MS"/>
          <w:rtl w:val="0"/>
        </w:rPr>
        <w:t xml:space="preserve">Given the state of chemical knowledge in the early nineteenth century, it would have been difficult to prove that one plant-based concoction was identical to another.  ↩</w:t>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t xml:space="preserve">8</w:t>
      </w:r>
    </w:p>
    <w:p w:rsidR="00000000" w:rsidDel="00000000" w:rsidP="00000000" w:rsidRDefault="00000000" w:rsidRPr="00000000" w14:paraId="000000E9">
      <w:pPr>
        <w:rPr/>
      </w:pPr>
      <w:r w:rsidDel="00000000" w:rsidR="00000000" w:rsidRPr="00000000">
        <w:rPr>
          <w:rFonts w:ascii="Arial Unicode MS" w:cs="Arial Unicode MS" w:eastAsia="Arial Unicode MS" w:hAnsi="Arial Unicode MS"/>
          <w:rtl w:val="0"/>
        </w:rPr>
        <w:t xml:space="preserve">Daniel J. Kevles, “Principles, Property Rights, and Profits: Historical Reflections on University/Industry Tensions,” Accountability in Research, Vol. 8 (2001), 12–26.  ↩</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t xml:space="preserve">9</w:t>
      </w:r>
    </w:p>
    <w:p w:rsidR="00000000" w:rsidDel="00000000" w:rsidP="00000000" w:rsidRDefault="00000000" w:rsidRPr="00000000" w14:paraId="000000EC">
      <w:pPr>
        <w:rPr/>
      </w:pPr>
      <w:r w:rsidDel="00000000" w:rsidR="00000000" w:rsidRPr="00000000">
        <w:rPr>
          <w:rFonts w:ascii="Arial Unicode MS" w:cs="Arial Unicode MS" w:eastAsia="Arial Unicode MS" w:hAnsi="Arial Unicode MS"/>
          <w:rtl w:val="0"/>
        </w:rPr>
        <w:t xml:space="preserve">Kevles, “Principles, Property Rights, and Profits 12–26.  ↩</w:t>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pPr>
      <w:r w:rsidDel="00000000" w:rsidR="00000000" w:rsidRPr="00000000">
        <w:rPr>
          <w:rtl w:val="0"/>
        </w:rPr>
        <w:t xml:space="preserve">10</w:t>
      </w:r>
    </w:p>
    <w:p w:rsidR="00000000" w:rsidDel="00000000" w:rsidP="00000000" w:rsidRDefault="00000000" w:rsidRPr="00000000" w14:paraId="000000EF">
      <w:pPr>
        <w:rPr/>
      </w:pPr>
      <w:r w:rsidDel="00000000" w:rsidR="00000000" w:rsidRPr="00000000">
        <w:rPr>
          <w:rFonts w:ascii="Arial Unicode MS" w:cs="Arial Unicode MS" w:eastAsia="Arial Unicode MS" w:hAnsi="Arial Unicode MS"/>
          <w:rtl w:val="0"/>
        </w:rPr>
        <w:t xml:space="preserve">Gerald J. Mossinghoff, “Overview of the Hatch–Waxman Act and Its Impact on the Drug Development Process,” Food and Drug Law Journal, Vol. 54, No. 2 (1999), pp. 188–90. Producers of “orphan” drugs, those for which the patient population was smaller than 200,000 people, were given seven years of data exclusivity; of so-called “new molecular entities,” perhaps the large majority, five years and an additional six months for pediatric drugs. The period was three years for drugs given supplemental patent protection for improvements. Wendy H. Schacht and John R. Thomas, The Hatch-Waxman Act: Legislative Changes in the 108th Congress Affecting Pharmaceutical Patents (Congressional Research Service, April 30, 2004), pp. 2–4.  ↩</w:t>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t xml:space="preserve">11</w:t>
      </w:r>
    </w:p>
    <w:p w:rsidR="00000000" w:rsidDel="00000000" w:rsidP="00000000" w:rsidRDefault="00000000" w:rsidRPr="00000000" w14:paraId="000000F2">
      <w:pPr>
        <w:rPr/>
      </w:pPr>
      <w:r w:rsidDel="00000000" w:rsidR="00000000" w:rsidRPr="00000000">
        <w:rPr>
          <w:rFonts w:ascii="Arial Unicode MS" w:cs="Arial Unicode MS" w:eastAsia="Arial Unicode MS" w:hAnsi="Arial Unicode MS"/>
          <w:rtl w:val="0"/>
        </w:rPr>
        <w:t xml:space="preserve">C. Scott Hemphill, “Paying for Delay: Pharmaceutical Patent Settlement as a Regulatory Design Problem,” NYU Law Review, October 21, 2006, 1578–1579.  ↩</w:t>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t xml:space="preserve">12</w:t>
      </w:r>
    </w:p>
    <w:p w:rsidR="00000000" w:rsidDel="00000000" w:rsidP="00000000" w:rsidRDefault="00000000" w:rsidRPr="00000000" w14:paraId="000000F5">
      <w:pPr>
        <w:rPr/>
      </w:pPr>
      <w:r w:rsidDel="00000000" w:rsidR="00000000" w:rsidRPr="00000000">
        <w:rPr>
          <w:rFonts w:ascii="Arial Unicode MS" w:cs="Arial Unicode MS" w:eastAsia="Arial Unicode MS" w:hAnsi="Arial Unicode MS"/>
          <w:rtl w:val="0"/>
        </w:rPr>
        <w:t xml:space="preserve">Robin Feldman and Evan Frondorf, “Drug Wars: A New Generation of Generic Pharmaceutical Delay,” Harvard Journal on Legislation, Vol. 53, pp. 499-561 (2016), p. 501; Aaron S. Kesselheim, Jerry Avorn, Ameet Sarpatwari, “The High Cost of Prescription Drugs in the United States: Origins and Prospects for Reform,” JAMA, 316(8), p. 862; Association for Accessible Medicines, Generic Drug Access and Savings in the U.S. (2017), p. 16.  ↩</w:t>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t xml:space="preserve">13</w:t>
      </w:r>
    </w:p>
    <w:p w:rsidR="00000000" w:rsidDel="00000000" w:rsidP="00000000" w:rsidRDefault="00000000" w:rsidRPr="00000000" w14:paraId="000000F8">
      <w:pPr>
        <w:rPr/>
      </w:pPr>
      <w:r w:rsidDel="00000000" w:rsidR="00000000" w:rsidRPr="00000000">
        <w:rPr>
          <w:rFonts w:ascii="Arial Unicode MS" w:cs="Arial Unicode MS" w:eastAsia="Arial Unicode MS" w:hAnsi="Arial Unicode MS"/>
          <w:rtl w:val="0"/>
        </w:rPr>
        <w:t xml:space="preserve">Some number of originator companies have further postponed the market entry of generic competitors through so-called pay-for-delay arrangements with successful first-to-file paragraph IV applicants. Under these arrangements, originators have paid such generic manufacturers to delay the introduction of their drugs for at least the duration of its 180 days of market exclusivity. In the estimate of the Federal Trade Commission, pay-for-delay costs consumers $3.5 billion a year. In 2013, the US Supreme Court struck down such cash payments if they violate the pro-competitive aims of antitrust law, but originators have since found numerous alternative strategies to keep generics from the market. The Waxman report urges legislation that would flatly prohibit them. Federal Trade Commission v. Actavis, Inc., et al. 570 U.S. ___, 133 S. Ct. 2223 (2013); Feldman and Frondorf, “Drug Wars: A New Generation of Generic Pharmaceutical Delay,” Harvard Journal on Legislation, Vol. 53, pp. 499-561; Hemphill, “Paying for Delay,” pp. 1553–1623.  ↩</w:t>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pPr>
      <w:r w:rsidDel="00000000" w:rsidR="00000000" w:rsidRPr="00000000">
        <w:rPr>
          <w:rtl w:val="0"/>
        </w:rPr>
        <w:t xml:space="preserve">14</w:t>
      </w:r>
    </w:p>
    <w:p w:rsidR="00000000" w:rsidDel="00000000" w:rsidP="00000000" w:rsidRDefault="00000000" w:rsidRPr="00000000" w14:paraId="000000FB">
      <w:pPr>
        <w:rPr/>
      </w:pPr>
      <w:r w:rsidDel="00000000" w:rsidR="00000000" w:rsidRPr="00000000">
        <w:rPr>
          <w:rFonts w:ascii="Arial Unicode MS" w:cs="Arial Unicode MS" w:eastAsia="Arial Unicode MS" w:hAnsi="Arial Unicode MS"/>
          <w:rtl w:val="0"/>
        </w:rPr>
        <w:t xml:space="preserve">Randy Barrett, “Drug Industry Association Gives Millions, Gains Friends,” Tarbell, November 14, 2017; Reis Thebault, “Big Pharma’s Army of Lobbyists,” Tarbell, November 14, 2017; Nathaniel Weixel, “Trump’s Vows to Take on Drug Prices, Opioids, Draw Skepticism,” The Hill, February 1, 2018; Andrew Pollack, “Biotech Firms, Billions at Risk, Lobby States to Limit Generics,” New York Times, January 28, 2013.  ↩</w:t>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t xml:space="preserve">15</w:t>
      </w:r>
    </w:p>
    <w:p w:rsidR="00000000" w:rsidDel="00000000" w:rsidP="00000000" w:rsidRDefault="00000000" w:rsidRPr="00000000" w14:paraId="000000FE">
      <w:pPr>
        <w:rPr/>
      </w:pPr>
      <w:r w:rsidDel="00000000" w:rsidR="00000000" w:rsidRPr="00000000">
        <w:rPr>
          <w:rFonts w:ascii="Arial Unicode MS" w:cs="Arial Unicode MS" w:eastAsia="Arial Unicode MS" w:hAnsi="Arial Unicode MS"/>
          <w:rtl w:val="0"/>
        </w:rPr>
        <w:t xml:space="preserve">Excessive price increases under such market conditions would possibly violate antitrust law. Harry First, “Excessive Drug Pricing as an Antitrust Violation,” Antitrust Law Journal (forthcoming, 2019).  ↩</w:t>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t xml:space="preserve">16</w:t>
      </w:r>
    </w:p>
    <w:p w:rsidR="00000000" w:rsidDel="00000000" w:rsidP="00000000" w:rsidRDefault="00000000" w:rsidRPr="00000000" w14:paraId="00000101">
      <w:pPr>
        <w:rPr/>
      </w:pPr>
      <w:r w:rsidDel="00000000" w:rsidR="00000000" w:rsidRPr="00000000">
        <w:rPr>
          <w:rFonts w:ascii="Arial Unicode MS" w:cs="Arial Unicode MS" w:eastAsia="Arial Unicode MS" w:hAnsi="Arial Unicode MS"/>
          <w:rtl w:val="0"/>
        </w:rPr>
        <w:t xml:space="preserve">The market monopolies range from about six to nineteen years. C. Scott Hemphill and Bhaven N. Sampat, “Evergreening, Patent Challenges, and Effective Market Life in Pharmaceuticals,” Journal of Health Economics, Vol. 31 (2012), pp. 329–30; Mossinghoff, “Overview,” pp. 189–190.  ↩</w:t>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t xml:space="preserve">17</w:t>
      </w:r>
    </w:p>
    <w:p w:rsidR="00000000" w:rsidDel="00000000" w:rsidP="00000000" w:rsidRDefault="00000000" w:rsidRPr="00000000" w14:paraId="00000104">
      <w:pPr>
        <w:rPr/>
      </w:pPr>
      <w:r w:rsidDel="00000000" w:rsidR="00000000" w:rsidRPr="00000000">
        <w:rPr>
          <w:rFonts w:ascii="Arial Unicode MS" w:cs="Arial Unicode MS" w:eastAsia="Arial Unicode MS" w:hAnsi="Arial Unicode MS"/>
          <w:rtl w:val="0"/>
        </w:rPr>
        <w:t xml:space="preserve">Alison Kodjak, “Mother Calls EpiPen Price Hike ‘A Matter of Life and Death,’” NPR online, August 27, 2016.  ↩</w:t>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pPr>
      <w:r w:rsidDel="00000000" w:rsidR="00000000" w:rsidRPr="00000000">
        <w:rPr>
          <w:rtl w:val="0"/>
        </w:rPr>
        <w:t xml:space="preserve">18</w:t>
      </w:r>
    </w:p>
    <w:p w:rsidR="00000000" w:rsidDel="00000000" w:rsidP="00000000" w:rsidRDefault="00000000" w:rsidRPr="00000000" w14:paraId="00000107">
      <w:pPr>
        <w:rPr/>
      </w:pPr>
      <w:r w:rsidDel="00000000" w:rsidR="00000000" w:rsidRPr="00000000">
        <w:rPr>
          <w:rFonts w:ascii="Arial Unicode MS" w:cs="Arial Unicode MS" w:eastAsia="Arial Unicode MS" w:hAnsi="Arial Unicode MS"/>
          <w:rtl w:val="0"/>
        </w:rPr>
        <w:t xml:space="preserve">Paul Krugman, “What’s Good for Pharma Isn’t Good for America (Wonkish),” New York Times, May 12, 2018.  ↩</w:t>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t xml:space="preserve">19</w:t>
      </w:r>
    </w:p>
    <w:p w:rsidR="00000000" w:rsidDel="00000000" w:rsidP="00000000" w:rsidRDefault="00000000" w:rsidRPr="00000000" w14:paraId="0000010A">
      <w:pPr>
        <w:rPr/>
      </w:pPr>
      <w:r w:rsidDel="00000000" w:rsidR="00000000" w:rsidRPr="00000000">
        <w:rPr>
          <w:rFonts w:ascii="Arial Unicode MS" w:cs="Arial Unicode MS" w:eastAsia="Arial Unicode MS" w:hAnsi="Arial Unicode MS"/>
          <w:rtl w:val="0"/>
        </w:rPr>
        <w:t xml:space="preserve">Henry G. Grabowski and Richard Manning, “Drug Prices and Medical Innovation: A Response to Yu, Helms, and Bach, Health Affairs Blog, June 2, 2017; Elisabeth Rosenthal, “For Drugs that Save Lives, a Steep Cost,” New York Times, April 26, 2014; Liz Szabo, “‘Breakthrough’ Leukemia Drug Also Portends ‘Quantum Leap’ in Cost,” KHN [Kaiser Health News], August 23, 2017.  ↩</w:t>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rPr/>
      </w:pPr>
      <w:r w:rsidDel="00000000" w:rsidR="00000000" w:rsidRPr="00000000">
        <w:rPr>
          <w:rtl w:val="0"/>
        </w:rPr>
        <w:t xml:space="preserve">20</w:t>
      </w:r>
    </w:p>
    <w:p w:rsidR="00000000" w:rsidDel="00000000" w:rsidP="00000000" w:rsidRDefault="00000000" w:rsidRPr="00000000" w14:paraId="0000010D">
      <w:pPr>
        <w:rPr/>
      </w:pPr>
      <w:r w:rsidDel="00000000" w:rsidR="00000000" w:rsidRPr="00000000">
        <w:rPr>
          <w:rFonts w:ascii="Arial Unicode MS" w:cs="Arial Unicode MS" w:eastAsia="Arial Unicode MS" w:hAnsi="Arial Unicode MS"/>
          <w:rtl w:val="0"/>
        </w:rPr>
        <w:t xml:space="preserve">Joseph Walker, “Trump Attacks Drugmakers on Pricing,” Wall Street Journal, January 11, 2017; Bill Berkrot, “Rpt-Clinton Plan on U.S. Drug Costs Adds to Pressure for Lower Prices,” Reuters, September 23, 2015.  ↩</w:t>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t xml:space="preserve">21</w:t>
      </w:r>
    </w:p>
    <w:p w:rsidR="00000000" w:rsidDel="00000000" w:rsidP="00000000" w:rsidRDefault="00000000" w:rsidRPr="00000000" w14:paraId="00000110">
      <w:pPr>
        <w:rPr/>
      </w:pPr>
      <w:r w:rsidDel="00000000" w:rsidR="00000000" w:rsidRPr="00000000">
        <w:rPr>
          <w:rFonts w:ascii="Arial Unicode MS" w:cs="Arial Unicode MS" w:eastAsia="Arial Unicode MS" w:hAnsi="Arial Unicode MS"/>
          <w:rtl w:val="0"/>
        </w:rPr>
        <w:t xml:space="preserve">Prescription-drug companies warn that such regulation of their advertising would undoubtedly confront robust legal challenge. Under Chief Justice Warren Burger, the US Supreme Court brought commercial speech under the protection of the First Amendment in a key case that allowed pharmacies to advertise drug prices. The aim was to advance the public interest by disseminating price information to consumers. However, in recent years the courts have interpreted the First Amendment protections of commercial speech to include corporate insulation from compulsion to disclose information in their advertising, a doctrine that would extend to information about the price and quality of prescription drugs. See Michael Graetz and Linda Greenhouse, The Burger Court and the Rise of the Judicial Right (Simon &amp; Schuster, 2016), pp. 243–255; Jerry Avorn, Ameet Sarpatwari, and Aaron S. Kesselheim, “Forbidden and Permitted Statements about Medications—Loosening the Rules,” New England Journal of Medicine, 373: 10, September 3, 2015, pp. 967–973.  ↩</w:t>
      </w:r>
    </w:p>
    <w:p w:rsidR="00000000" w:rsidDel="00000000" w:rsidP="00000000" w:rsidRDefault="00000000" w:rsidRPr="00000000" w14:paraId="00000111">
      <w:pPr>
        <w:rPr/>
      </w:pPr>
      <w:r w:rsidDel="00000000" w:rsidR="00000000" w:rsidRPr="00000000">
        <w:rPr>
          <w:rtl w:val="0"/>
        </w:rPr>
      </w:r>
    </w:p>
    <w:p w:rsidR="00000000" w:rsidDel="00000000" w:rsidP="00000000" w:rsidRDefault="00000000" w:rsidRPr="00000000" w14:paraId="00000112">
      <w:pPr>
        <w:rPr/>
      </w:pPr>
      <w:r w:rsidDel="00000000" w:rsidR="00000000" w:rsidRPr="00000000">
        <w:rPr>
          <w:rtl w:val="0"/>
        </w:rPr>
        <w:t xml:space="preserve">22</w:t>
      </w:r>
    </w:p>
    <w:p w:rsidR="00000000" w:rsidDel="00000000" w:rsidP="00000000" w:rsidRDefault="00000000" w:rsidRPr="00000000" w14:paraId="00000113">
      <w:pPr>
        <w:rPr/>
      </w:pPr>
      <w:r w:rsidDel="00000000" w:rsidR="00000000" w:rsidRPr="00000000">
        <w:rPr>
          <w:rFonts w:ascii="Arial Unicode MS" w:cs="Arial Unicode MS" w:eastAsia="Arial Unicode MS" w:hAnsi="Arial Unicode MS"/>
          <w:rtl w:val="0"/>
        </w:rPr>
        <w:t xml:space="preserve">The Prescription Drug Act moved some 6.5 million Medicaid recipients into so-called dual status, whereby they receive hospitalization benefits under Medicaid but drug coverage under Medicare D. Waxman urges reducing the prices for these dual-eligible people to the level paid by Medicaid and, for good measure, allowing states to negotiate drug purchases under Medicaid and act as their own PBMs. See my “Medicare, Medicaid, and Pharmaceuticals: The Price of Innovation,” in Yale Journal of Health Policy, Law, and Ethics, Vol. 15 (Winter 2015), pp. 241–46; Waxman et al, Root, pp. 13–14.  ↩</w:t>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rPr/>
      </w:pPr>
      <w:r w:rsidDel="00000000" w:rsidR="00000000" w:rsidRPr="00000000">
        <w:rPr>
          <w:rtl w:val="0"/>
        </w:rPr>
        <w:t xml:space="preserve">23</w:t>
      </w:r>
    </w:p>
    <w:p w:rsidR="00000000" w:rsidDel="00000000" w:rsidP="00000000" w:rsidRDefault="00000000" w:rsidRPr="00000000" w14:paraId="00000116">
      <w:pPr>
        <w:rPr/>
      </w:pPr>
      <w:r w:rsidDel="00000000" w:rsidR="00000000" w:rsidRPr="00000000">
        <w:rPr>
          <w:rFonts w:ascii="Arial Unicode MS" w:cs="Arial Unicode MS" w:eastAsia="Arial Unicode MS" w:hAnsi="Arial Unicode MS"/>
          <w:rtl w:val="0"/>
        </w:rPr>
        <w:t xml:space="preserve">Robert Pear, “Trump’s Plan to Lower Drug Prices Tests Limits of the Law,” New York Times, June 16, 2018; Nicholas Florko, “Trump Signs His First Drug Pricing Bill—But Whiffs on the Details,” Stat, Oct. 10, 2018.  ↩</w:t>
      </w:r>
    </w:p>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rPr/>
      </w:pPr>
      <w:r w:rsidDel="00000000" w:rsidR="00000000" w:rsidRPr="00000000">
        <w:rPr>
          <w:rtl w:val="0"/>
        </w:rPr>
        <w:t xml:space="preserve">24</w:t>
      </w:r>
    </w:p>
    <w:p w:rsidR="00000000" w:rsidDel="00000000" w:rsidP="00000000" w:rsidRDefault="00000000" w:rsidRPr="00000000" w14:paraId="00000119">
      <w:pPr>
        <w:rPr/>
      </w:pPr>
      <w:r w:rsidDel="00000000" w:rsidR="00000000" w:rsidRPr="00000000">
        <w:rPr>
          <w:rFonts w:ascii="Arial Unicode MS" w:cs="Arial Unicode MS" w:eastAsia="Arial Unicode MS" w:hAnsi="Arial Unicode MS"/>
          <w:rtl w:val="0"/>
        </w:rPr>
        <w:t xml:space="preserve">Almost a week after Trump’s Rose Garden speech, Scott Gottlieb, the head of the FDA, announced that the agency would stop the “shenanigans” through a naming-and-shaming tactic—the publication on its website beginning May 17, 2018, of a list of drug manufacturers that withhold their samples. Sheila Kaplan, “F.D.A. Admonishes Drug Makers in Push to Share Generics,” New York Times, May 18, 2018, p. B2. For the list and a discussion of it, see www.fda.gov/Drugs/DevelopmentApprovalProcess/HowDrugsareDevelopedandApproved/ApprovalApplications/AbbreviatedNewDrugApplicationANDAGenerics/ucm607738.htm. Erin Mershon, “HHS Opens Door to Possibility of Importing Some Drugs to Drive Down Prices“, Stat, July 19, 2018.  ↩</w:t>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rPr/>
      </w:pPr>
      <w:r w:rsidDel="00000000" w:rsidR="00000000" w:rsidRPr="00000000">
        <w:rPr>
          <w:rtl w:val="0"/>
        </w:rPr>
        <w:t xml:space="preserve">25</w:t>
      </w:r>
    </w:p>
    <w:p w:rsidR="00000000" w:rsidDel="00000000" w:rsidP="00000000" w:rsidRDefault="00000000" w:rsidRPr="00000000" w14:paraId="0000011C">
      <w:pPr>
        <w:rPr/>
      </w:pPr>
      <w:r w:rsidDel="00000000" w:rsidR="00000000" w:rsidRPr="00000000">
        <w:rPr>
          <w:rFonts w:ascii="Arial Unicode MS" w:cs="Arial Unicode MS" w:eastAsia="Arial Unicode MS" w:hAnsi="Arial Unicode MS"/>
          <w:rtl w:val="0"/>
        </w:rPr>
        <w:t xml:space="preserve">In the decade from 2006 through 2015 the eighteen drug companies in the Standard and Poor’s 500 index spent $516 billion on buybacks and dividends, 11 percent more than their expenditures on research and development during the same period ($465 billion). Gretchen Morgenson, “When Big Pharma Spends, Research Isn’t No. 1,” The New York Times, July 16, 2017; Ike Swetlitz, “Railing Against ‘Global Freeloading,’ Trump Details New Plan to Lower Drug Prices,” Stat, October 25, 2018.  ↩</w:t>
      </w:r>
    </w:p>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rPr/>
      </w:pPr>
      <w:r w:rsidDel="00000000" w:rsidR="00000000" w:rsidRPr="00000000">
        <w:rPr>
          <w:rtl w:val="0"/>
        </w:rPr>
        <w:t xml:space="preserve">26</w:t>
      </w:r>
    </w:p>
    <w:p w:rsidR="00000000" w:rsidDel="00000000" w:rsidP="00000000" w:rsidRDefault="00000000" w:rsidRPr="00000000" w14:paraId="0000011F">
      <w:pPr>
        <w:rPr/>
      </w:pPr>
      <w:r w:rsidDel="00000000" w:rsidR="00000000" w:rsidRPr="00000000">
        <w:rPr>
          <w:rFonts w:ascii="Arial Unicode MS" w:cs="Arial Unicode MS" w:eastAsia="Arial Unicode MS" w:hAnsi="Arial Unicode MS"/>
          <w:rtl w:val="0"/>
        </w:rPr>
        <w:t xml:space="preserve">Public Law 96-517, Dec. 12, 1980, §200, §201 (f).  ↩</w:t>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rPr/>
      </w:pPr>
      <w:r w:rsidDel="00000000" w:rsidR="00000000" w:rsidRPr="00000000">
        <w:rPr>
          <w:rtl w:val="0"/>
        </w:rPr>
        <w:t xml:space="preserve">27</w:t>
      </w:r>
    </w:p>
    <w:p w:rsidR="00000000" w:rsidDel="00000000" w:rsidP="00000000" w:rsidRDefault="00000000" w:rsidRPr="00000000" w14:paraId="00000122">
      <w:pPr>
        <w:rPr/>
      </w:pPr>
      <w:r w:rsidDel="00000000" w:rsidR="00000000" w:rsidRPr="00000000">
        <w:rPr>
          <w:rFonts w:ascii="Arial Unicode MS" w:cs="Arial Unicode MS" w:eastAsia="Arial Unicode MS" w:hAnsi="Arial Unicode MS"/>
          <w:rtl w:val="0"/>
        </w:rPr>
        <w:t xml:space="preserve">Lev Facher, “As the 2020 Campaign Kicks Off, Democrats Scramble to Prove Their Leadership on Lowering Drug Costs,” Stat, January 11, 2019; Lev Facher, “Pharma’s ‘Come-to-Jesus Moment’: The Industry Braces for a Pelosi Speakership and Democrats’ Drug-Pricing Agenda,” Stat, October 30, 2018; Rebecca Spalding and Riley Griffin, “Big Pharma Is Caught Between Wall Street and Trump on Drug Prices,” Bloomberg, January 3, 2019; Erin Mershon, “Trump denounces ‘middlemen,’ largely spares pharma in drug pricing speech,” STAT, May 11, 2018. ↩</w:t>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rPr/>
      </w:pPr>
      <w:r w:rsidDel="00000000" w:rsidR="00000000" w:rsidRPr="00000000">
        <w:rPr>
          <w:rtl w:val="0"/>
        </w:rPr>
        <w:t xml:space="preserve">28</w:t>
      </w:r>
    </w:p>
    <w:p w:rsidR="00000000" w:rsidDel="00000000" w:rsidP="00000000" w:rsidRDefault="00000000" w:rsidRPr="00000000" w14:paraId="00000125">
      <w:pPr>
        <w:rPr/>
      </w:pPr>
      <w:r w:rsidDel="00000000" w:rsidR="00000000" w:rsidRPr="00000000">
        <w:rPr>
          <w:rFonts w:ascii="Arial Unicode MS" w:cs="Arial Unicode MS" w:eastAsia="Arial Unicode MS" w:hAnsi="Arial Unicode MS"/>
          <w:rtl w:val="0"/>
        </w:rPr>
        <w:t xml:space="preserve">Nicholas Florko, “What’s the Fuss with Bernie Sanders’ New Drug Pricing Bill?” State, November 20, 2018; Ed Silverman, “Once Again, Lawmakers Introduce a Bill to End Tax Breaks for Consumer Drug Ads. Will It Work This Time?” Stat, January 17, 2019, ; Elizabeth Warren, “It’s Time to Let the Government Manufacture Generic Drugs,” Washington Post, December 17, 2018. House Committee on Oversight and Reform, “Oversight Committee Launches Sweeping Drug Price Investigation,” January 14, 2019; Ike Swetlitz, “Kumbaya in Washington: Democrats, GOP, and Trump All Pledge to Work to Bring Down Drug Prices,” Stat, November 7, 2018.  ↩</w:t>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