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Readings for Feb 10 2019</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For this Sunday, Feb 10, the Today’s Issues group will discuss three articles from the Feb 7 issue of the New York Review of Books (if that is too much, one will be put off a week).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Page 11, Joseph Koerner, a review of a book on “Vermeer and the Masters of Genre Painting”.  Ernie Novak is preparing a slide presentation on Vermeer.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Page 21, David Cole, “</w:t>
      </w:r>
      <w:hyperlink r:id="rId6">
        <w:r w:rsidDel="00000000" w:rsidR="00000000" w:rsidRPr="00000000">
          <w:rPr>
            <w:color w:val="1155cc"/>
            <w:u w:val="single"/>
            <w:rtl w:val="0"/>
          </w:rPr>
          <w:t xml:space="preserve">The Path of Greatest Resistance,</w:t>
        </w:r>
      </w:hyperlink>
      <w:r w:rsidDel="00000000" w:rsidR="00000000" w:rsidRPr="00000000">
        <w:rPr>
          <w:rtl w:val="0"/>
        </w:rPr>
        <w:t xml:space="preserve">” a review of two books on theuse of computer networks by social movements and why some succeed and others fail.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Page 33, Ruth Margolin, a review of “The Real Lolita: The Kidnapping of Sally Horner and the Novel that Scandalized the World”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group meets in the parlor of the Religious Education building next to the church at 9:30 on Sundays.  Please do the readings and join our lively discussion.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 copy of the readings is attached.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First Among Equals</w:t>
      </w:r>
    </w:p>
    <w:p w:rsidR="00000000" w:rsidDel="00000000" w:rsidP="00000000" w:rsidRDefault="00000000" w:rsidRPr="00000000" w14:paraId="0000000F">
      <w:pPr>
        <w:rPr/>
      </w:pPr>
      <w:r w:rsidDel="00000000" w:rsidR="00000000" w:rsidRPr="00000000">
        <w:rPr>
          <w:rtl w:val="0"/>
        </w:rPr>
        <w:t xml:space="preserve">Joseph Leo Koerner FEBRUARY 7, 2019 ISSUE</w:t>
      </w:r>
    </w:p>
    <w:p w:rsidR="00000000" w:rsidDel="00000000" w:rsidP="00000000" w:rsidRDefault="00000000" w:rsidRPr="00000000" w14:paraId="00000010">
      <w:pPr>
        <w:rPr/>
      </w:pPr>
      <w:r w:rsidDel="00000000" w:rsidR="00000000" w:rsidRPr="00000000">
        <w:rPr>
          <w:rtl w:val="0"/>
        </w:rPr>
        <w:t xml:space="preserve">Vermeer and the Masters of Genre Painting: Inspiration and Rivalry</w:t>
      </w:r>
    </w:p>
    <w:p w:rsidR="00000000" w:rsidDel="00000000" w:rsidP="00000000" w:rsidRDefault="00000000" w:rsidRPr="00000000" w14:paraId="00000011">
      <w:pPr>
        <w:rPr/>
      </w:pPr>
      <w:r w:rsidDel="00000000" w:rsidR="00000000" w:rsidRPr="00000000">
        <w:rPr>
          <w:rtl w:val="0"/>
        </w:rPr>
        <w:t xml:space="preserve">an exhibition at the Louvre, Paris, February 20–May 22, 2017; the National Gallery of Ireland, Dublin, June 17–September 17, 2017; and the National Gallery of Art, Washington, D.C., October 22, 2017–January 21, 2018</w:t>
      </w:r>
    </w:p>
    <w:p w:rsidR="00000000" w:rsidDel="00000000" w:rsidP="00000000" w:rsidRDefault="00000000" w:rsidRPr="00000000" w14:paraId="00000012">
      <w:pPr>
        <w:rPr/>
      </w:pPr>
      <w:r w:rsidDel="00000000" w:rsidR="00000000" w:rsidRPr="00000000">
        <w:rPr>
          <w:rtl w:val="0"/>
        </w:rPr>
        <w:t xml:space="preserve">Catalog of the exhibition by Adriaan E. Waiboer with Arthur K. Wheelock Jr., Blaise Ducos, and others</w:t>
      </w:r>
    </w:p>
    <w:p w:rsidR="00000000" w:rsidDel="00000000" w:rsidP="00000000" w:rsidRDefault="00000000" w:rsidRPr="00000000" w14:paraId="00000013">
      <w:pPr>
        <w:rPr/>
      </w:pPr>
      <w:r w:rsidDel="00000000" w:rsidR="00000000" w:rsidRPr="00000000">
        <w:rPr>
          <w:rtl w:val="0"/>
        </w:rPr>
        <w:t xml:space="preserve">Yale University Press in association with the National Gallery of Ireland, the National Gallery of Art, and the Louvre, 304 pp., $60.00; $35.00 (paper)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Musée du Louvre, Paris</w:t>
      </w:r>
    </w:p>
    <w:p w:rsidR="00000000" w:rsidDel="00000000" w:rsidP="00000000" w:rsidRDefault="00000000" w:rsidRPr="00000000" w14:paraId="00000016">
      <w:pPr>
        <w:rPr/>
      </w:pPr>
      <w:r w:rsidDel="00000000" w:rsidR="00000000" w:rsidRPr="00000000">
        <w:rPr>
          <w:rtl w:val="0"/>
        </w:rPr>
        <w:t xml:space="preserve">Johannes Vermeer: The Lacemaker, 9 5/8 x 8 1/4 inches, circa 1669–1670</w:t>
      </w:r>
    </w:p>
    <w:p w:rsidR="00000000" w:rsidDel="00000000" w:rsidP="00000000" w:rsidRDefault="00000000" w:rsidRPr="00000000" w14:paraId="00000017">
      <w:pPr>
        <w:rPr/>
      </w:pPr>
      <w:r w:rsidDel="00000000" w:rsidR="00000000" w:rsidRPr="00000000">
        <w:rPr>
          <w:rtl w:val="0"/>
        </w:rPr>
        <w:t xml:space="preserve">On a May morning in 1921 Marcel Proust ventured from his bed, where he spent most of his time, to see an exhibition of Dutch painters at the Jeu de Paume. Organized to demonstrate the modern sensibilities of certain old masters, it had been lavishly praised, including by his friend Jean-Louis Vaudoyer, who reviewed it under the title “The Mysterious Vermeer.” Vermeer had been an obsession for Proust since he saw The View of Delft at The Hague in 1902 and called it “the most beautiful painting in the world.” In Swann’s Way (1913), Vermeer figured prominently as the epitome of aesthetic perfection and an impediment to human relations. The novel finds Charles Swann stalled in his attempt to write on the painter. Although this project continues to derail his courtship efforts, “in reality” Swann had “abandoned [them] years ago.”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Proust had hoped to write a study of Vermeer himself. Through Swann he expressed the fear that his own masterpiece would remain unfinished—at his death in 1922 the last three volumes of À la recherche du temps perdu were still in draft. So famous were Proust’s reflections on Vermeer that the 1921 exhibition included The View of Delft just so the ailing novelist could behold his favorite painting one last time. As if addressing Proust, Vaudoyer described that canvas in an overtly Proustian way, as déjà vu: “You see again this stretch of rose-gold sand…. You see again this immense sky.”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 photograph survives of Proust’s excursion. The last taken of the writer before he died, it shows him standing erect and elegant outside the Jeu de Paume. Before leaving his bed he confided that he didn’t want to ruin the exhibition by dying in the galleries. These worries found fictional expression. The character Bergotte—a writer and another of Proust’s alter egos in the novel—dies in front of a Vermeer. Lured from his sickbed by the words of a critic, Bergotte seeks in the canvas (which “he adored and imagined that he knew by heart”) a detail he had missed or forgotten: an exquisitely painted patch of wall. He wanders galleries hung with paintings that all seem “artificial” and arrives at the Vermeer, a work “more different from anything else that he knew.” His head spinning, he finds the yellow patch—and finds his life wanting: “My last books are too dry, I ought to have gone over them with several coats of paint, made my language exquisite in itself, like this little patch of yellow wall.” Repeating to himself “little patch of yellow wall,” he expires.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It is Vermeer’s most dramatic reception. But the epiphany of the painter’s difference from others in the tradition, and the intuition that this uniqueness is mysteriously founded in paint per se, “exquisite in itself,” have been common themes in the Vermeer literature since his modern rediscovery. In 1866 the French art critic Théophile Thoré, writing under the pseudonym Wilhelm Bürger, claimed to have rescued the artist from oblivion. He called Vermeer “the Sphinx of Delft” due to the silence of past historians and the enigmatic quality of his art. On Thoré-Bürger’s initiative, the 1866 Paris Salon included a loan show containing eleven paintings attributed to “Jan van de Meer.” Critics swooned. Representative of everyone “disinherited” by history, Vermeer, in a reviewer’s words, “evokes no parallels or comparisons.”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Compared to other Dutch masters whose biographies and oeuvres were established, Vermeer was unknown. Deemed the result of his having been ignored in his day (archives showed he died bankrupt), this oblivion became proof of his modernity. “We go to him,” wrote Gustav Vanzype in a 1908 monograph that Proust owned, “because a sort of mysterious prescience made him see as we see, made him discern, divine, and anticipate a sensibility that would not develop until two centuries after him.” This sensibility was one that allowed things to appear as they are, sometimes to the point of obscurity—in anticipation of Impressionism or (more uncannily) of photography.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Vaudoyer wrote that it was impossible to mistake a Vermeer for the work of another master, but the path to his recovery was riddled with error. Thoré-Bürger attributed seventy-four paintings to him, more than twice the number currently accepted. And he singled out for special acclaim works that turned out to be by an amateur, Dirk Jan van der Laan, active in Zwolle around 1800. A later generation corrected these errors, but the rage for Vermeers and their scarcity drove prices up, encouraging frauds and forgeries. A doyen of art historical scholarship, Abraham Bredius, who had unmasked Van der Laan’s imitations, was duped into declaring Han van Meegeren’s forgery The Supper at Emmaus “the masterpiece of Johannes Vermeer of Delft.” Van Meegeren’s confessions, made in 1947 while in the dock as Nazi collaborator, caused much soul-searching among connoisseurs. By the 1970s, the number of authentic Vermeers had dropped to thirty-one—the accepted oeuvre currently stands between thirty-four and thirty-seven works.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Meanwhile, historians unearthed a wealth of information about the painter’s domestic life, patrons, religion, and finances, and they debunked the myth of Vermeer as an unrecognized genius. He turns out to have been collected, admired, and imitated in his day. His eclipse was due to his limited output and narrow circle of patrons, and to accident: the chief early authority on Dutch art, Arnold Houbraken (1660–1719), listed other famous painters from Delft but accidentally missed out on Vermeer—he seems not to have turned the relevant page of his source, Dirck van Bleyswijck’s 1667 Description of the City of Delft, which names Vermeer as a new artistic “phoenix.”</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And yet the idea of Vermeer’s obscurity remains. “It seems the greatness of Vermeer’s stature is almost equal to the dearth of knowledge about him,” writes Jane Jelley in her recent Traces of Vermeer, only then to build on the considerable body of established facts. Something about Vermeer continues to make him sphinxlike no matter how much we know. Vaudoyer explained that this is because the artist turned his back on us: “His face remains unknown to us, like his life, like his death.” He was referring to The Art of Painting, Vermeer’s pictorial manifesto, in which a painter—probably a self-portrait—faces away from the viewer as he paints a female model. For Vaudoyer, Vermeer faces away in order to turn us toward his work, all his work, and not just The Art of Painting. Who the painter really is, and who his model is, that woman in blue, posing but reserving something for herself: these are unknowable, in the painting as they would be in life. All we can know is that Vermeer saw these persons in this way.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idea spoke to Proust, who insisted that an author’s true self is revealed only in his books, and whose novel dramatizes the gap between individuals. Artworks show their maker by manifesting the unique way the world appears to that one person. Without art this difference “would remain the secret of every individual.” Vermeer’s secret is that he unlocks everyone’s secret—in the all-encompassing but inexpressibly individual “how” of our perception of the world. “Thanks to art, instead of seeing one world, our own, we see it multiplied and as many original artists as there are, so many worlds are at our disposal,” wrote Proust, “whether their name be Rembrandt or Vermeer.”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For Proust and his contemporaries, Vermeer was fundamentally different, the artist who set his painted world most apart from all other worlds, including the art world of the Dutch Republic in its heyday. Proust complained that the Louvre hung Vermeer’s Lacemaker with other Dutch masters: the work should be exhibited “as a masterpiece, apart.” Many would still agree. Museums tend to display Vermeer among Dutch works of his period, but most visitors pass these by to get to the canvas they know and love, expecting from it alone a life-changing experience.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An extraordinary exhibition that closed last year posed a powerful challenge to this view. “Vermeer and the Masters of Genre Painting: Inspiration and Rivalry” gathered around a core of a dozen Vermeers some sixty canvases by other Dutch masters, reactivating them in a group conversation. The family resemblances proved striking. All painted on canvases of a modest scale, all in portrait format, these pictures feature wealthy ladies and gentlemen in elegant interiors. The actions depicted are all of an ordinary kind. People knit, write letters, drink wine, eat oysters, fuss with their clothing, and so forth—though the range is also constricted. The ordinary isn’t simply anything ordinarily done but finds expression in certain market-tested scenarios. The repetition of these encouraged cunning variation, improvement, or disruption, inviting viewers to recognize what was good in each painting.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Also shared among the paintings are the artifacts featured in them. Brass chandeliers, marble tiled floors, gilt leather walls, and precious glassware, silver, and ceramics attest to the affluence of the artists’ clients, many of whom prospered in the luxury trade. The paintings are aspirational. As Marjorie Wieseman writes in the excellent catalog of the exhibition, even the wealthiest Dutch homes could not boast the huge marble chimneypieces shown in the background of several paintings. The repertoire of valuables allowed painters to distinguish themselves as well. The ubiquitous Turkish rugs allowed craft know-how and individual manner to shine. In their essay, Melanie Gifford and Lisha Deming Glinsman detail the distinctive ways artists captured these attention-grabbing textiles—Vermeer worked quickly, wet-in-wet, while Gerrit Dou built his carpets knot by knot. Certain effects became signature specialties. Gerard ter Borch came up with an inimitable way of painting satin that amazed patrons and challenged rivals.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Gemäldegalerie, Berlin</w:t>
      </w:r>
    </w:p>
    <w:p w:rsidR="00000000" w:rsidDel="00000000" w:rsidP="00000000" w:rsidRDefault="00000000" w:rsidRPr="00000000" w14:paraId="00000031">
      <w:pPr>
        <w:rPr/>
      </w:pPr>
      <w:r w:rsidDel="00000000" w:rsidR="00000000" w:rsidRPr="00000000">
        <w:rPr>
          <w:rtl w:val="0"/>
        </w:rPr>
        <w:t xml:space="preserve">Johannes Vermeer: Woman with a Pearl Necklace, 20 x 17 3/4 inches, circa 1662–1665</w:t>
      </w:r>
    </w:p>
    <w:p w:rsidR="00000000" w:rsidDel="00000000" w:rsidP="00000000" w:rsidRDefault="00000000" w:rsidRPr="00000000" w14:paraId="00000032">
      <w:pPr>
        <w:rPr/>
      </w:pPr>
      <w:r w:rsidDel="00000000" w:rsidR="00000000" w:rsidRPr="00000000">
        <w:rPr>
          <w:rtl w:val="0"/>
        </w:rPr>
        <w:t xml:space="preserve">Vaudoyer wrote that Vermeer had “no relatives,” yet here his DNA has been sequenced, and the matches are astonishing. Adriaan Waiboer opens his account with a textbook instance of a pictorial lineage. Starting with Vermeer’s Woman with a Pearl Necklace (circa 1662–1665), he describes how most people imagine it was made. From his studio, the artist glimpses his wife, Catharina, dressing. Just as she pulls her necklace tight around her neck, Vermeer cries, “Hold that pose!” While it may seem a caricature, this is how many writers, from Proust to Tracy Chevalier (whose 1999 novel, Girl with a Pearl Earring, was a best seller), imagine the artist at work, finding his motifs spontaneously and capturing them from life.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Waiboer shatters this fantasy. He introduces Frans van Mieris’s Woman Before a Mirror (circa 1662), a painting of the sort Bergotte passed over on his way to Vermeer, but it matches Vermeer’s canvas so closely that the resemblance cannot be accidental. “There is little doubt,” Waiboer concludes, “that Van Mieris’s picture, rather than Catharina’s morning toilet, inspired Vermeer to paint Woman with a Pearl Necklace.”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Metropolitan Museum of Art</w:t>
      </w:r>
    </w:p>
    <w:p w:rsidR="00000000" w:rsidDel="00000000" w:rsidP="00000000" w:rsidRDefault="00000000" w:rsidRPr="00000000" w14:paraId="00000038">
      <w:pPr>
        <w:rPr/>
      </w:pPr>
      <w:r w:rsidDel="00000000" w:rsidR="00000000" w:rsidRPr="00000000">
        <w:rPr>
          <w:rtl w:val="0"/>
        </w:rPr>
        <w:t xml:space="preserve">Gerard ter Borch: Young Woman at Her Toilet with a Maid, 18 3/4 x 13 5/8 inches, circa 1650–1651</w:t>
      </w:r>
    </w:p>
    <w:p w:rsidR="00000000" w:rsidDel="00000000" w:rsidP="00000000" w:rsidRDefault="00000000" w:rsidRPr="00000000" w14:paraId="00000039">
      <w:pPr>
        <w:rPr/>
      </w:pPr>
      <w:r w:rsidDel="00000000" w:rsidR="00000000" w:rsidRPr="00000000">
        <w:rPr>
          <w:rtl w:val="0"/>
        </w:rPr>
        <w:t xml:space="preserve">Seeing Van Mieris’s picture in a collector’s home or dealer’s shop, Vermeer might have recognized that it had been inspired by an earlier work by Ter Borch, Young Woman at Her Toilet with a Maid (circa 1650–1651). Van Mieris embellished his precursor’s composition by introducing the motif of an opened letter, which suggests stories about love, disappointment, and vanity. Jan Steen—the comic of the group—had already added a love note to the mix. Riffing on the same Ter Borch, he painted Young Woman with a Letter (“Bathsheba with King David’s Letter”) (1659–1660). The canvas would pass for a domestic scene but for the phrase “most beautiful Bathsheba—because…” legible on the letter.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Vermeer thus joined a lively competition among rivals, each turning his prototype to his advantage—Van Meiris adding erotic innuendo, Steen evoking biblical history. Vermeer in turn blocked our access to the woman through a dark barrier of table and chair. He left out the attendant maid, bathed the scene in wondrous light that the woman’s satin jacket turns to gold, and gave her a look of momentary but sublime self-awareness. He made it seem like it is the woman herself who stands apart, from him and us as amazed voyeurs. But viewed as artistic rivalry, this apartness becomes an effect engineered by Vermeer to set himself apart. As Eric Jan Sluijter demonstrates in his catalog essay “Emulative Imitation Among High-Life Genre Painters,” the goal was a “dissimilar similarity” that could foreground individual skill to an audience of connoisseurs.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 website designed in conjunction with the catalog records over a thousand distinct connections between the genre paintings of the leaders in the field in the years 1650–1675. It is a powerful demonstration—Vermeer first among equals, responding more to artworks than to the world—and the stakes are high. Two centuries before Thoré-Bürger, Dutch painting exemplified the idea that art reflects the time when it was made. All art was believed to do this—a Gothic cathedral reflected the worldview of the Middle Ages; Michelangelo embodied the Renaissance. This made art a window onto the past.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But in the Dutch case, the match between the paintings and their period was more extreme. For the first time artists depicted not some story from an ancient past but contemporary life around them. Such realism reflected specific historical conditions—hard-won freedom from foreign rule, the Protestant ethic, the hegemony of an urban middle class—and it did so with a unique directness. The Dutch already pictured their world—vividly—as nineteenth-century “historicism” would assert all human worlds to be: not a divine order (as in, say, Jan van Eyck) or a satanic disorder (as in Hieronymus Bosch) but the construct of a specific, time-bound social collective. At the core of their achievement stood the “merry companies,” paintings of people eating, drinking, and music-making—what Hegel called “the Sunday of life which equalizes everything and removes all evil.”</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That Sunday passed, and over the next two hundred years art severed itself from communal life. It became “modern” less by reflecting modern circumstances than by miming earlier styles and turning inward. Vermeer’s rediscovery went hand in hand with a sense not only of his difference from his contemporaries, but also of his kinship with modern painters who try to capture life in the fugitive present moment. Placing him back among “the masters of genre painting” runs counter to this stubborn view. Such a view cannot be undone by historical argument alone. No one doubts that Vermeer was of his time. The question is whether his modernity, which has dazzled viewers for more than a century, can and should be denied.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“Genre painting” is too wide a term for what these painters mastered. Pictures of everyday life had been a Netherlandish specialty since the sixteenth century, though this new art form had not acquired a name. Coined in the eighteenth century, “genre” denoted the representation of types, of nameless people doing everyday things, as opposed to the identifiable individuals in portraits and history paintings. Almost all the early genre paintings looked down on their subjects. Bruegel’s festive peasants were comical figures laughed at in the villas of patricians; Teniers’s lowlife scenes furnished humorous entertainment for well-heeled burghers in their orderly homes.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Around 1650 a genre of genre painting arose that looked not down but across at its subjects. The portrait format of these canvases—earlier genre scenes were oriented horizontally—reflected this elevation, as did its focus on relatively few figures, compared to the crowded “merry companies” of old. Most important was the social milieu of these “high-life” genre paintings. Elegant ladies and gentlemen in lavishly appointed homes engage in the pastimes of a leisured class.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Two words from the period described these paintings. They were “bourgeois” (burgerlyk), as opposed to common or noble (in this they prefigure later art forms, most notably the novel). And they were “modern”: the paintings depicted contemporary life. This modern, bourgeois art had a brief run. It began around 1650, after the Peace of Westphalia secured Dutch independence, and it waned after 1672, when the republic was attacked by five great powers, never quite to recover economically. During this period hundreds of painters’ shops produced many hundreds of thousands of paintings for the widest public that painting ever enjoyed. But within this market “the masters of genre painting” formed an elite, their membership marked and sealed by their imitation of and rivalry with fellow members.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Waiboer, Wheelock, and their coauthors allow readers to play this game on their own. Works are discussed and illustrated in clusters, each featuring a shared motif or device, such as letter-writing, musical duets, mirrors, or pets. Certain chains of influence remain speculative, but the authors do not force them on the reader, and the general fact of influence is as fascinating as it is indisputable. It is common wisdom that people become poets by reading poetry and that artists work with schemata that represent reality by force of convention. Ernst Robert Curtius argued that all of European literature developed from an ancient seedbed of clichéd phrases called topoi—e.g., the “world turned upside-down” or “all must die.” Dutch high-life genre paintings derive from stock motifs as well, such as kitchen scenes and allegories of the four elements, the virtues and vices, and the five senses.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But there are new and unprecedented departures, too, and if one had to name the most valuable artist among these high-genre painters it would be Gerard ter Borch. Vermeer’s Woman with a Pearl Necklace derived, via Van Mieris, from Ter Borch, as we have seen. But in creating the original Young Woman at Her Toilet, Ter Borch might indeed have seen his model in real life and cried to her, “Hold that pose!” For she was the artist’s remarkable half-sister Gesina, who not only sat for many of his works, but who may have sparked her brother’s interest in private inner life in the first place. Already in the late 1640s, while Gerard was still painting portraits and lowlife scenes, Gesina began to turn her fascination with the vexations of love into illustrated poems. These she collected in an album preserved in the Ter Borch family archives, now in the Rijksmuseum.</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Gesina’s verses reflect a period taste for Petrarch. But performed theatrically by Gesina for her painter brother, the expressions of expectation, worry, and disappointment that dominate love poetry gave Ter Borch, and through him all the other Dutch painters, new ways of visualizing subjective life. This is art about art—Gerard paints Gesina enacting Petrarchan love—but in life as in art, love follows old formulas as well. “The strange thing with all these love stories,” wrote the nineteenth-century Viennese humorist Johann Nestroy, “is that they always revolve around the same thing, but how they start and end is so endlessly different that watching them never gets boring.”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Among the stars of the exhibition were two pairs of paintings featuring an exchange of letters. Again, the idea originates with Ter Borch. Around 1658 he painted, in one canvas, an officer putting feelings into words while a courier awaits the dispatch, while in its pendant—to be hung to the right—the officer’s beloved seals her written response before handing it off to her maid. Partly a reflection of an emergent culture of epistolary exchange between ordinary people, partly a clever way of opening up the world isolated within the confines of a framed canvas, these companion pictures enlist the real space between them, allowing it to measure the reach of love’s yearning. More famous than the Ter Borchs is a pair of pendant paintings by Gabriël Metsu from the mid-1660s. Instances of the dual impact of Ter Borch and Vermeer, these canvases, now in Dublin, have (in the left picture) the man writing the letter and (in the right picture) the woman reading it. In the latter, a maid casually draws aside a curtain from a grisaille “painting in the painting” showing a ship in high seas.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Although split between two canvases and haunted (the grisaille reminds us) by the hazards of love, the story seems to unfold in a continuous world. This is because of a consistency of style. In both paintings space and light are rendered in Metsu’s trademark way. Style connects these pendants, but it also distinguishes them from their neighbors. Ter Borch’s pendants embrace a coherent but different world. Brought together for the first time in history, displayed at last as the companion pictures they originally were, their separate worlds communicate like loves or rivals. Vermeer left us no pendant canvases of corresponding lovers—only his Astronomer and Geographer of 1668 and 1669 were made to hang side by side. He opted to condense epistolary exchange into a single tableau, with an attendant maid evoking the world traversed.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In À la recherche du temps perdu, the narrator says of his beloved Vermeers, “they are fragments of an identical world.” Again, this is because they all belong to the artist’s specific vision. Maurice Merleau-Ponty wrote similarly that in Vermeer “all the moments of the picture, like one hundred needles on one hundred compass dials, indicate precisely the same immutable deviation.” The question is, Have the “dissimilar similarities” brought to light by Vermeer and the Masters of Genre Painting moved the compass needle?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To my eyes the exhibition and its catalog have only intensified the deviation. We see more clearly that Vermeer set himself apart and we see how. Most obviously, he does so by setting his subjects apart from us. The other masters appeal to us theatrically by comparison. Dou’s framing curtains and parapets turn the pictorial field into a stage filled to the brim with dramatic narrative. Though candid by comparison, Ter Borch’s paintings address us too as voyeurs, with Gesina marvelously committed to her roles. Stories do unfold in Vermeer’s canvases. A woman listens as she tunes her lute, another pauses to think while writing a letter. But they do not seem to do so for us. The chairs, curtains, and tabletops that press toward us from Vermeer’s foregrounds contribute to this sense of turning inward and away.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But there’s more to Vermeer’s detachment than mere motifs. In the exhibition, his Lacemaker hung alongside three paintings of women doing needlework. With the exception of Dou’s, all capture their subject in an absorptive state, with the woman so engrossed in her task that she wouldn’t notice our presence were we really to stand before her. Positioning the lacemaker so that we cannot see what she is sewing, Vermeer prompts us to look at his handiwork. In the foreground, white and red paint—conjuring threads escaping from the woman’s sewing cushion—appears as if dribbled on the canvas. Many writers have drawn attention to Vermeer’s habit of blurring objects he represents. Where others seek to delineate, he allows painted forms to dissolve into the surface of the pigments they physically are—Bergotte’s fatal “yellow patch of wall.” This refusal of likeness and story makes writing about him a special challenge—Swann’s unwritten book.</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 Path of Greatest Resistance</w:t>
      </w:r>
    </w:p>
    <w:p w:rsidR="00000000" w:rsidDel="00000000" w:rsidP="00000000" w:rsidRDefault="00000000" w:rsidRPr="00000000" w14:paraId="0000005C">
      <w:pPr>
        <w:rPr/>
      </w:pPr>
      <w:r w:rsidDel="00000000" w:rsidR="00000000" w:rsidRPr="00000000">
        <w:rPr>
          <w:rtl w:val="0"/>
        </w:rPr>
        <w:t xml:space="preserve">David Cole FEBRUARY 7, 2019 ISSUE</w:t>
      </w:r>
    </w:p>
    <w:p w:rsidR="00000000" w:rsidDel="00000000" w:rsidP="00000000" w:rsidRDefault="00000000" w:rsidRPr="00000000" w14:paraId="0000005D">
      <w:pPr>
        <w:rPr/>
      </w:pPr>
      <w:r w:rsidDel="00000000" w:rsidR="00000000" w:rsidRPr="00000000">
        <w:rPr>
          <w:rtl w:val="0"/>
        </w:rPr>
        <w:t xml:space="preserve">Twitter and Tear Gas: The Power and Fragility of Networked Protest</w:t>
      </w:r>
    </w:p>
    <w:p w:rsidR="00000000" w:rsidDel="00000000" w:rsidP="00000000" w:rsidRDefault="00000000" w:rsidRPr="00000000" w14:paraId="0000005E">
      <w:pPr>
        <w:rPr/>
      </w:pPr>
      <w:r w:rsidDel="00000000" w:rsidR="00000000" w:rsidRPr="00000000">
        <w:rPr>
          <w:rtl w:val="0"/>
        </w:rPr>
        <w:t xml:space="preserve">by Zeynep Tufekci</w:t>
      </w:r>
    </w:p>
    <w:p w:rsidR="00000000" w:rsidDel="00000000" w:rsidP="00000000" w:rsidRDefault="00000000" w:rsidRPr="00000000" w14:paraId="0000005F">
      <w:pPr>
        <w:rPr/>
      </w:pPr>
      <w:r w:rsidDel="00000000" w:rsidR="00000000" w:rsidRPr="00000000">
        <w:rPr>
          <w:rtl w:val="0"/>
        </w:rPr>
        <w:t xml:space="preserve">Yale University Press, 326 pp., $26.00; $16.00 (paper)</w:t>
      </w:r>
    </w:p>
    <w:p w:rsidR="00000000" w:rsidDel="00000000" w:rsidP="00000000" w:rsidRDefault="00000000" w:rsidRPr="00000000" w14:paraId="00000060">
      <w:pPr>
        <w:rPr/>
      </w:pPr>
      <w:r w:rsidDel="00000000" w:rsidR="00000000" w:rsidRPr="00000000">
        <w:rPr>
          <w:rtl w:val="0"/>
        </w:rPr>
        <w:t xml:space="preserve">How Change Happens: Why Some Social Movements Succeed While Others Don’t</w:t>
      </w:r>
    </w:p>
    <w:p w:rsidR="00000000" w:rsidDel="00000000" w:rsidP="00000000" w:rsidRDefault="00000000" w:rsidRPr="00000000" w14:paraId="00000061">
      <w:pPr>
        <w:rPr/>
      </w:pPr>
      <w:r w:rsidDel="00000000" w:rsidR="00000000" w:rsidRPr="00000000">
        <w:rPr>
          <w:rtl w:val="0"/>
        </w:rPr>
        <w:t xml:space="preserve">by Leslie R. Crutchfield</w:t>
      </w:r>
    </w:p>
    <w:p w:rsidR="00000000" w:rsidDel="00000000" w:rsidP="00000000" w:rsidRDefault="00000000" w:rsidRPr="00000000" w14:paraId="00000062">
      <w:pPr>
        <w:rPr/>
      </w:pPr>
      <w:r w:rsidDel="00000000" w:rsidR="00000000" w:rsidRPr="00000000">
        <w:rPr>
          <w:rtl w:val="0"/>
        </w:rPr>
        <w:t xml:space="preserve">Wiley, 228 pp., $30.00</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Alessandra Sanguinetti/Magnum Photos</w:t>
      </w:r>
    </w:p>
    <w:p w:rsidR="00000000" w:rsidDel="00000000" w:rsidP="00000000" w:rsidRDefault="00000000" w:rsidRPr="00000000" w14:paraId="00000065">
      <w:pPr>
        <w:rPr/>
      </w:pPr>
      <w:r w:rsidDel="00000000" w:rsidR="00000000" w:rsidRPr="00000000">
        <w:rPr>
          <w:rtl w:val="0"/>
        </w:rPr>
        <w:t xml:space="preserve">Protesters in support of gun control at a March for Our Lives demonstration, Santa Rosa, California, March 2018</w:t>
      </w:r>
    </w:p>
    <w:p w:rsidR="00000000" w:rsidDel="00000000" w:rsidP="00000000" w:rsidRDefault="00000000" w:rsidRPr="00000000" w14:paraId="00000066">
      <w:pPr>
        <w:rPr/>
      </w:pPr>
      <w:r w:rsidDel="00000000" w:rsidR="00000000" w:rsidRPr="00000000">
        <w:rPr>
          <w:rtl w:val="0"/>
        </w:rPr>
        <w:t xml:space="preserve">In the two years since the 2016 election, Donald Trump has generated some of the most demagogic, xenophobic, and cruel policies and practices to come out of Washington in decades. At the same time we have also seen some of the most engaged social activism in decades. The Women’s March, the airport demonstrations against the Muslim ban, the overflowing town halls in defense of the Affordable Care Act, the protests against the separation of immigrant families and Trump’s threats to deport undocumented minors who were granted legal status by the Obama administration, the #MeToo moment-turned-movement, the student-led March for Our Lives in support of stricter gun control, and the widespread protests against Brett Kavanaugh’s nomination to the Supreme Court are just the most public manifestations of citizens’ determination to stand up against Trump’s assaults on civil rights, civil liberties, and constitutional norms.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Less obvious signs of this engagement include the record number of subscriptions to The New York Times and The Washington Post, which are important checks on an administration that cavalierly disregards truth, and the quadrupling of membership in the American Civil Liberties Union, of which I am legal director. We were already the largest civil liberties and civil rights organization in the country before Trump’s election, and our membership has risen from 400,000 to 1.8 million since November 2016. Other nonprofits defending constitutional and environmental values under attack by Trump have also seen dramatically increased support.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This sense of urgency was reflected in the 2018 midterm elections, in which turnout was high and Democrats performed very well, despite the fact that Trump had inherited the strongest economy in decades. Democrats gained forty seats in the House of Representatives, the largest net gain for the party in a single election since 1947. Democrats also picked up seven governorships and won hundreds of state legislative seats previously held by Republicans.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Civil society groups made enormous efforts to ensure that the low Democratic turnout that allowed Trump to eke out a victory in 2016 would not be repeated in 2018.1 From its inception, for example, the March for Our Lives stressed the need to “vote them out” and promoted that theme with a nationwide get-out-the-vote effort. Women responded to the election of a self-avowed sexual assaulter by running for office—and winning—in record numbers. The ACLU launched a grassroots mobilization campaign, People Power, designed to inspire and support a loose network of citizens coming together in their neighborhoods and towns to work with local government to advance civil liberties and civil rights. It also devoted millions of dollars to supporting civil rights ballot initiatives, including a Florida referendum that ended the disenfranchisement of 1.4 million Floridians who have completed their prison sentences and returned to society.</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This is democracy in action. When a president manages to get elected despite obtaining nearly three million fewer votes than his opponent and then embarks on a series of controversial initiatives that please his extremist base but generally keep his approval ratings below 40 percent, the democratic process should respond accordingly. To a degree, it has. People have used the two most important tools of democracy—their voice and their vote—to register their disapproval.</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Will this response translate into meaningful long-term political and social change? The midterms provided an important early indicator that this is possible. If the threat posed by Trump inspires an alignment of progressive citizens and groups, we may see real long-lasting reforms. If the resistance to Trump fades, splinters, or self-destructs, however, the nation’s future could be determined by his resilient base, even though it represents only a minority of the electorate.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Zeynep Tufekci’s Twitter and Tear Gas: The Power and Fragility of Networked Protest offers a cautionary note. It is possible that one of the reasons there has been so much social activism on the left since Trump’s election is that it is so much simpler to engage politically in the era of the Internet. It seems as if social media have been around forever. But the first iPhone was not sold until 2007; Twitter launched in 2006, Facebook in 2004. As Tufekci illustrates, these developments have made it significantly easier to mount protests, to coordinate action, and to identify and associate with like-minded citizens. So while the unprecedented threat posed by Trump is undoubtedly a cause of the extent and energy of civic activism, it’s also true that the tools for organizing opposition have never been more democratized.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Dissatisfaction with autocratic regimes in the Middle East, for example, has been long-standing, but the Arab Spring did not occur until the advent of social media there. Social media allowed dissidents “to overcome censorship, coordinate protests, organize logistics, and spread humor and dissent with an ease that would have seemed miraculous to earlier generations,” Tufekci writes. But the Arab Spring is hardly a success story. As Robert Worth has shown in A Rage for Order (2016), popular protests may have succeeded in toppling autocratic regimes in many nations, but the result was more often a mere shift in autocrats than a transition to democracy.</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failure to achieve real reform in the Middle East may result in part from how handily social media called protesters into the streets. Tufekci notes that in order for the US civil rights movement to mount the Montgomery bus boycott in 1955 and the March on Washington in 1963, legions of activists had to work for years to develop the networks, relationships, organizations, and leaders necessary to sustain the boycott and carry out the march.</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Today, by contrast, a major demonstration can be launched in a matter of weeks. It took less than six weeks after the Parkland shootings in February 2018 to mobilize more than one million people nationwide in the March for Our Lives. The Women’s March, the most impressive anti-inaugural protest in history, was put together in a little over two months. The airport demonstrations protesting the Muslim ban took place across the country the day after the ban was introduced. These would not have been possible without Twitter, Facebook, and other social media tools.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But precisely because organizing is made easier by social media, a protest is a less meaningful indicator of a movement’s influence than it once was. The March on Washington was testament to the institutional power and reach of the civil rights movement. Today’s protests are less often the culmination of an organizing campaign than the start of one. Tufekci writes: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In the networked era, a large, organized march or protest should not be seen as the chief outcome of previous capacity building by a movement; rather it should be looked at as the initial moment of the movement’s bursting onto the scene, but only the first stage.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Despite their impressive beginnings, the question of whether the Women’s March, the #MeToo movement, or the March for Our Lives will help achieve lasting reform remains open.</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Moreover, while social media permit progressives to organize more efficiently, they also empower repressive movements. Social media and the Internet are likely responsible in part for what appears to be a resurgence of white supremacist groups in the United States. Strong social norms condemning the Ku Klux Klan, Nazis, and other racist organizations once made it extremely risky for those with white supremacist beliefs to seek out like-minded allies and voice their views in public. Now they can find communities in chat rooms, the echo chamber of Facebook, and on niche websites without incurring social opprobrium. As Siva Vaidhyanathan argues in Antisocial Media: How Facebook Disconnects Us and Undermines Democracy, Facebook is a “forum for tribalism.” Facilitating association is not without costs.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Even as social media make it easier for dissidents to find one another and act collectively (for good or ill), they can also be deployed to undermine and neutralize forces for change. Traditional means of censorship are far less effective in a world where there are a myriad of independent voices rather than a finite number of outlets to target. As Tufekci shows, however, governments have devised new modes of countering their critics, unleashing “trolls” and “bots” to engage in mass disinformation aimed at undermining the legitimacy of dissenting voices and spreading sufficient confusion to drown out and disarm them. The goal is not to shut down opposing views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but to produce resignation, cynicism, and a sense of disempowerment among the people. This can be done in many ways, including inundating audiences with information, producing distractions to dilute their attention and focus, delegitimating media that provide accurate information…, deliberately sowing confusion, fear, and doubt by aggressively questioning credibility,…creating or claiming hoaxes, or generating harassment campaigns.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Tufekci’s book, written before the revelations about Russian interference in the presidential campaign, was prescient in describing how governments would use and abuse social media. Indeed, the description quoted above perfectly captures the tactics of Donald Trump and his allies.2 Several domestic US groups copied the ploys used by Russian trolls in 2016 to sow discord and confusion in advance of the 2018 midterms.3 The Saudi government has done much the same thing, deploying trolls to target and drown out its critics, including Jamal Khashoggi before it murdered him.4 Similar tactics were used in Brazil to spread millions of misleading WhatsApp messages in the run up to the October 2018 presidential election won by a Trump-like populist, Jair Bolsonaro.5 Online, censorship is out and disinformation is in.6</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Facebook and Twitter have attempted to respond, but identifying and blocking disinformation is extraordinarily challenging. As a recent article in The New York Times revealed, Facebook has 15,000 employees around the world who monitor millions of posts each day for objectionable content, guided by elaborate, ever-changing, and secret rules. Errors are inevitable in such a vast censorship enterprise.7 At this point, it is difficult to know whether social media’s benefits in giving everyone a voice and facilitating political association outweigh their considerable costs in encouraging tribalism, enabling widespread disinformation, eroding faith in a set of shared facts, and undermining activism. In retrospect, the jubilation over new technology’s part in the Arab Spring looks remarkably naive.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If social media’s greatest contribution is democratizing communications, their greatest threat is in abetting cynicism and distrust. When platforms are infected with disinformation, making it difficult for users to identify the truth, or when users encounter only a version of events that supports their suspicions about the difficulty of change, they can slide into a hopelessness that prevents them from acting. And that result is just as good as censorship to those seeking to deflect challenges to the status quo.</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Social media, in other words, may be as much an obstacle to effective political organizing as an aid. If today’s emerging movements are to succeed, they will need to migrate from the online platforms that supported their formation and early successes, develop more traditional institutional structures, and operate in the offline world as much as or more than online. A hashtag may be sufficient for a moment or a message, but not for a movement.</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In How Change Happens: Why Some Social Movements Succeed While Others Don’t, Leslie Crutchfield offers useful guidance to the many individuals and groups that have been inspired to take action following Trump’s election. Crutchfield studied a range of American social movements over the past several decades and sought to identify the characteristics that effective ones have shared. Her subjects include the campaigns to discourage cigarette smoking and drunk driving, to develop the constitutional rights to bear arms and marriage equality, and to reduce acid rain. In much less detail she also discusses Occupy Wall Street, environmental campaigns, the Tea Party, and Black Lives Matter.</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Accra Shepp</w:t>
      </w:r>
    </w:p>
    <w:p w:rsidR="00000000" w:rsidDel="00000000" w:rsidP="00000000" w:rsidRDefault="00000000" w:rsidRPr="00000000" w14:paraId="00000092">
      <w:pPr>
        <w:rPr/>
      </w:pPr>
      <w:r w:rsidDel="00000000" w:rsidR="00000000" w:rsidRPr="00000000">
        <w:rPr>
          <w:rtl w:val="0"/>
        </w:rPr>
        <w:t xml:space="preserve">Protesters against student debt, New York City, November 2011; photograph by Accra Shepp from his series ‘Occupying Wall Street’</w:t>
      </w:r>
    </w:p>
    <w:p w:rsidR="00000000" w:rsidDel="00000000" w:rsidP="00000000" w:rsidRDefault="00000000" w:rsidRPr="00000000" w14:paraId="00000093">
      <w:pPr>
        <w:rPr/>
      </w:pPr>
      <w:r w:rsidDel="00000000" w:rsidR="00000000" w:rsidRPr="00000000">
        <w:rPr>
          <w:rtl w:val="0"/>
        </w:rPr>
        <w:t xml:space="preserve">The principal lessons from both books are threefold. First, successful campaigns for national change generally begin at the local and state level, and only build to national change incrementally. This means that movements will do best if they encourage the development of state-based or even more localized affiliated groups that are part of a national strategy but exercise substantial independence and initiative in their regions. Crutchfield calls it “networked leadership.” This requires a mix of guidance and independence, because a top-down national structure risks dampening enthusiasm of those at the local level, while coordination is necessary to achieve results at the national level.</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Mothers Against Drunk Driving, for example, encouraged the formation of local chapters with substantial autonomy, and within five years of its founding in 1980 it had 450 local chapters and two million members. The National Rifle Association worked through affiliates in every state to gain recognition of gun rights at the state level long before the Supreme Court took up the question of a constitutional right to bear arms in 2008. By contrast, the gun control movement, led by the Brady Campaign to Prevent Gun Violence, focused its efforts in Washington, D.C., and had very little presence in the states, thereby easing the way for the NRA and its affiliates. As Crutchfield notes, “the winning movements that have peaked since the 1980s have all adopted this states-first approach—including gun rights, tobacco control, and drunk-driving reduction.”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gun control movement has now learned from this mistake, and Everytown for Gun Safety, founded in 2014 by Michael Bloomberg, is an effort to match the NRA’s state-focused strategy. To the extent that March for Our Lives can work with Everytown affiliates, it may be able to transform into real change the national attention it achieved through its inspiring response to the Parkland shooting. But that will require painstaking institutional work at the state level.</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Second, Tufekci’s and Crutchfield’s accounts emphasize the importance of institutions with strong structures that assign responsibility for decision-making to trusted leaders. Without organization and clear lines of authority, movements can founder when they need to respond nimbly to changing conditions. Tufekci identifies such “tactical freeze” as one of the reasons the Arab Spring reforms failed; aided by social media, the protests launched without developing the kind of organizational capacity that might have enabled the movement to shift tactics when necessary. Both authors identify this as a critical weakness as well for Occupy Wall Street, which was adamantly opposed to institutions and hierarchy, and as a result was often dysfunctional.</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Third, seeking reform through elections is critical to success. Both the Tea Party and Occupy Wall Street started from grassroots, but the Tea Party focused single-mindedly on electing representatives who reflected its views, while Occupy had little appetite for ordinary politics. One engaged in democracy; the other largely opted out. The Tea Party has had lasting influence, while Occupy is a thing of the past. It’s also true that the Tea Party had millions of dollars in support, as Jane Mayer has shown in Dark Money (2016), so the comparison is not entirely fair. But it is nonetheless true that the surest path to reform in the United States is through the democratic process.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Women have been at the center of the Trump resistance and are likely to remain so. While they have long been victimized by sexual harassment, the election of a president who bragged about using his own privilege to assault women seems to have broken some sort of barrier. A disproportionate number of the ACLU’s new members since 2016 are women. The congressional freshman class that just took office had more women than ever before. Women protesters were not able to halt the confirmation of Justice Kavanaugh, but that failure may motivate still more to take up the fight against Trump and for women’s equality and dignity. (The confirmation of Clarence Thomas in 1991 despite Anita Hill’s highly credible allegations of sexual harassment sparked a “Year of the Woman,” and women punished Republicans at the polls in the next election.)</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The #MeToo movement has already inspired considerable reform. Microsoft, Uber, and Lyft have exempted sexual harassment complaints from contract clauses requiring binding arbitration, while Condé Nast has adopted a new code of conduct for working with models. Several major hotel chains have provided their workers with panic buttons to notify security if hotel guests try to harass them. Four states—Maryland, Vermont, Ten- nessee, and Washington—have banned the confidentiality conditions in employment contracts that enabled employers to conceal harassment claims.8</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Crutchfield’s and Tufekci’s work suggests, however, that whether reforms will continue depends on the energy of the movement being channeled productively into organizations at the national and local levels, and into electoral politics. The #MeToo movement has given rise to the Time’s Up Legal Defense Fund, which provides subsidized legal support to victims of sexual harassment and assault. And the women’s movement already has a number of established organizations that work to prevent and remedy sexual harassment and assault, including the National Women’s Law Center, Alianza Nacional de Campesinas, Restaurant Opportunities Centers United, Girls for Gender Equity, the ACLU, and the National Domestic Workers Alliance. Some of these have state and local affiliates. And because federal employment law already prohibits sexual harassment, private civil rights attorneys and the Equal Employment Opportunity Commission also play an important part in responding to the problem. But troubling signs of division have also arisen, particularly among organizers of the Women’s March.9</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Whether #MeToo and other progressive movements will achieve lasting reform will depend on these organizations working collectively in multiple forums, including courtrooms, state legislatures, corporate boardrooms, union halls, and, most importantly, at the ballot box. We all need to turn away from our smartphones and screens and engage, together, in the work of democracy.</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1</w:t>
      </w:r>
    </w:p>
    <w:p w:rsidR="00000000" w:rsidDel="00000000" w:rsidP="00000000" w:rsidRDefault="00000000" w:rsidRPr="00000000" w14:paraId="000000A6">
      <w:pPr>
        <w:rPr/>
      </w:pPr>
      <w:r w:rsidDel="00000000" w:rsidR="00000000" w:rsidRPr="00000000">
        <w:rPr>
          <w:rFonts w:ascii="Arial Unicode MS" w:cs="Arial Unicode MS" w:eastAsia="Arial Unicode MS" w:hAnsi="Arial Unicode MS"/>
          <w:rtl w:val="0"/>
        </w:rPr>
        <w:t xml:space="preserve">For more on increased turnout and its effects in 2018, see Michael Tomasky, “The Midterms: So Close, So Far Apart,” The New York Review, December 20, 2018. ﻿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2</w:t>
      </w:r>
    </w:p>
    <w:p w:rsidR="00000000" w:rsidDel="00000000" w:rsidP="00000000" w:rsidRDefault="00000000" w:rsidRPr="00000000" w14:paraId="000000A9">
      <w:pPr>
        <w:rPr/>
      </w:pPr>
      <w:r w:rsidDel="00000000" w:rsidR="00000000" w:rsidRPr="00000000">
        <w:rPr>
          <w:rFonts w:ascii="Arial Unicode MS" w:cs="Arial Unicode MS" w:eastAsia="Arial Unicode MS" w:hAnsi="Arial Unicode MS"/>
          <w:rtl w:val="0"/>
        </w:rPr>
        <w:t xml:space="preserve">For an account of Facebook’s complicity in the Trump campaign, see Jacob Weisberg, “The Autocracy App,” The New York Review, October 25, 2018. ﻿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3</w:t>
      </w:r>
    </w:p>
    <w:p w:rsidR="00000000" w:rsidDel="00000000" w:rsidP="00000000" w:rsidRDefault="00000000" w:rsidRPr="00000000" w14:paraId="000000AC">
      <w:pPr>
        <w:rPr/>
      </w:pPr>
      <w:r w:rsidDel="00000000" w:rsidR="00000000" w:rsidRPr="00000000">
        <w:rPr>
          <w:rFonts w:ascii="Arial Unicode MS" w:cs="Arial Unicode MS" w:eastAsia="Arial Unicode MS" w:hAnsi="Arial Unicode MS"/>
          <w:rtl w:val="0"/>
        </w:rPr>
        <w:t xml:space="preserve">Sheera Frenkel, “Facebook Tackles Rising Threat: Americans Aping Russian Schemes to Deceive,” The New York Times, October 11, 2018.﻿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4</w:t>
      </w:r>
    </w:p>
    <w:p w:rsidR="00000000" w:rsidDel="00000000" w:rsidP="00000000" w:rsidRDefault="00000000" w:rsidRPr="00000000" w14:paraId="000000AF">
      <w:pPr>
        <w:rPr/>
      </w:pPr>
      <w:r w:rsidDel="00000000" w:rsidR="00000000" w:rsidRPr="00000000">
        <w:rPr>
          <w:rFonts w:ascii="Arial Unicode MS" w:cs="Arial Unicode MS" w:eastAsia="Arial Unicode MS" w:hAnsi="Arial Unicode MS"/>
          <w:rtl w:val="0"/>
        </w:rPr>
        <w:t xml:space="preserve">Katie Benner, Mark Mazzetti, Ben Hubbard, and Mike Isaac, “Saudis’ Image Makers: A Troll Army and a Twitter Insider,” The New York Times, October 20, 2018﻿.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5</w:t>
      </w:r>
    </w:p>
    <w:p w:rsidR="00000000" w:rsidDel="00000000" w:rsidP="00000000" w:rsidRDefault="00000000" w:rsidRPr="00000000" w14:paraId="000000B2">
      <w:pPr>
        <w:rPr/>
      </w:pPr>
      <w:r w:rsidDel="00000000" w:rsidR="00000000" w:rsidRPr="00000000">
        <w:rPr>
          <w:rFonts w:ascii="Arial Unicode MS" w:cs="Arial Unicode MS" w:eastAsia="Arial Unicode MS" w:hAnsi="Arial Unicode MS"/>
          <w:rtl w:val="0"/>
        </w:rPr>
        <w:t xml:space="preserve">Mike Isaac and Kevin Roose, “Disinformation Spreads on WhatsApp Ahead of Brazilian Election,” The New York Times, October 19, 2018.﻿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6</w:t>
      </w:r>
    </w:p>
    <w:p w:rsidR="00000000" w:rsidDel="00000000" w:rsidP="00000000" w:rsidRDefault="00000000" w:rsidRPr="00000000" w14:paraId="000000B5">
      <w:pPr>
        <w:rPr/>
      </w:pPr>
      <w:r w:rsidDel="00000000" w:rsidR="00000000" w:rsidRPr="00000000">
        <w:rPr>
          <w:rFonts w:ascii="Arial Unicode MS" w:cs="Arial Unicode MS" w:eastAsia="Arial Unicode MS" w:hAnsi="Arial Unicode MS"/>
          <w:rtl w:val="0"/>
        </w:rPr>
        <w:t xml:space="preserve">Disinformation tactics have been deployed by both parties, as in the Alabama Senate race. See Scott Shane and Alan Blinder, “Democrats Faked Online Push to Outlaw Alcohol,” The New York Times, January 7, 2019.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7</w:t>
      </w:r>
    </w:p>
    <w:p w:rsidR="00000000" w:rsidDel="00000000" w:rsidP="00000000" w:rsidRDefault="00000000" w:rsidRPr="00000000" w14:paraId="000000B8">
      <w:pPr>
        <w:rPr/>
      </w:pPr>
      <w:r w:rsidDel="00000000" w:rsidR="00000000" w:rsidRPr="00000000">
        <w:rPr>
          <w:rFonts w:ascii="Arial Unicode MS" w:cs="Arial Unicode MS" w:eastAsia="Arial Unicode MS" w:hAnsi="Arial Unicode MS"/>
          <w:rtl w:val="0"/>
        </w:rPr>
        <w:t xml:space="preserve">Max Fisher, “Inside Facebook’s Secret Rulebook for Global Political Speech,” The New York Times, December 27, 2018.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8</w:t>
      </w:r>
    </w:p>
    <w:p w:rsidR="00000000" w:rsidDel="00000000" w:rsidP="00000000" w:rsidRDefault="00000000" w:rsidRPr="00000000" w14:paraId="000000BB">
      <w:pPr>
        <w:rPr/>
      </w:pPr>
      <w:r w:rsidDel="00000000" w:rsidR="00000000" w:rsidRPr="00000000">
        <w:rPr>
          <w:rFonts w:ascii="Arial Unicode MS" w:cs="Arial Unicode MS" w:eastAsia="Arial Unicode MS" w:hAnsi="Arial Unicode MS"/>
          <w:rtl w:val="0"/>
        </w:rPr>
        <w:t xml:space="preserve">For a list of reforms achieved in the first year of the #MeToo movement, see Zoe Greenberg, “What Has Actually Changed in a Year,” The New York Times, October 6, 2018.﻿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9</w:t>
      </w:r>
    </w:p>
    <w:p w:rsidR="00000000" w:rsidDel="00000000" w:rsidP="00000000" w:rsidRDefault="00000000" w:rsidRPr="00000000" w14:paraId="000000BE">
      <w:pPr>
        <w:rPr/>
      </w:pPr>
      <w:r w:rsidDel="00000000" w:rsidR="00000000" w:rsidRPr="00000000">
        <w:rPr>
          <w:rFonts w:ascii="Arial Unicode MS" w:cs="Arial Unicode MS" w:eastAsia="Arial Unicode MS" w:hAnsi="Arial Unicode MS"/>
          <w:rtl w:val="0"/>
        </w:rPr>
        <w:t xml:space="preserve">Farah Stockman, “Women’s March Roiled by Accusations of Anti-Semitism,” The New York Times, December 23, 2018.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The Girl Behind Lolita</w:t>
      </w:r>
    </w:p>
    <w:p w:rsidR="00000000" w:rsidDel="00000000" w:rsidP="00000000" w:rsidRDefault="00000000" w:rsidRPr="00000000" w14:paraId="000000C3">
      <w:pPr>
        <w:rPr/>
      </w:pPr>
      <w:r w:rsidDel="00000000" w:rsidR="00000000" w:rsidRPr="00000000">
        <w:rPr>
          <w:rtl w:val="0"/>
        </w:rPr>
        <w:t xml:space="preserve">Ruth Margalit FEBRUARY 7, 2019 ISSUE</w:t>
      </w:r>
    </w:p>
    <w:p w:rsidR="00000000" w:rsidDel="00000000" w:rsidP="00000000" w:rsidRDefault="00000000" w:rsidRPr="00000000" w14:paraId="000000C4">
      <w:pPr>
        <w:rPr/>
      </w:pPr>
      <w:r w:rsidDel="00000000" w:rsidR="00000000" w:rsidRPr="00000000">
        <w:rPr>
          <w:rtl w:val="0"/>
        </w:rPr>
        <w:t xml:space="preserve">The Real Lolita: The Kidnapping of Sally Horner and the Novel That Scandalized the World</w:t>
      </w:r>
    </w:p>
    <w:p w:rsidR="00000000" w:rsidDel="00000000" w:rsidP="00000000" w:rsidRDefault="00000000" w:rsidRPr="00000000" w14:paraId="000000C5">
      <w:pPr>
        <w:rPr/>
      </w:pPr>
      <w:r w:rsidDel="00000000" w:rsidR="00000000" w:rsidRPr="00000000">
        <w:rPr>
          <w:rtl w:val="0"/>
        </w:rPr>
        <w:t xml:space="preserve">by Sarah Weinman</w:t>
      </w:r>
    </w:p>
    <w:p w:rsidR="00000000" w:rsidDel="00000000" w:rsidP="00000000" w:rsidRDefault="00000000" w:rsidRPr="00000000" w14:paraId="000000C6">
      <w:pPr>
        <w:rPr/>
      </w:pPr>
      <w:r w:rsidDel="00000000" w:rsidR="00000000" w:rsidRPr="00000000">
        <w:rPr>
          <w:rtl w:val="0"/>
        </w:rPr>
        <w:t xml:space="preserve">Ecco, 306 pp., $27.99</w:t>
      </w:r>
    </w:p>
    <w:p w:rsidR="00000000" w:rsidDel="00000000" w:rsidP="00000000" w:rsidRDefault="00000000" w:rsidRPr="00000000" w14:paraId="000000C7">
      <w:pPr>
        <w:rPr/>
      </w:pPr>
      <w:r w:rsidDel="00000000" w:rsidR="00000000" w:rsidRPr="00000000">
        <w:rPr>
          <w:rtl w:val="0"/>
        </w:rPr>
        <w:t xml:space="preserve">Rust &amp; Stardust</w:t>
      </w:r>
    </w:p>
    <w:p w:rsidR="00000000" w:rsidDel="00000000" w:rsidP="00000000" w:rsidRDefault="00000000" w:rsidRPr="00000000" w14:paraId="000000C8">
      <w:pPr>
        <w:rPr/>
      </w:pPr>
      <w:r w:rsidDel="00000000" w:rsidR="00000000" w:rsidRPr="00000000">
        <w:rPr>
          <w:rtl w:val="0"/>
        </w:rPr>
        <w:t xml:space="preserve">by T. Greenwood</w:t>
      </w:r>
    </w:p>
    <w:p w:rsidR="00000000" w:rsidDel="00000000" w:rsidP="00000000" w:rsidRDefault="00000000" w:rsidRPr="00000000" w14:paraId="000000C9">
      <w:pPr>
        <w:rPr/>
      </w:pPr>
      <w:r w:rsidDel="00000000" w:rsidR="00000000" w:rsidRPr="00000000">
        <w:rPr>
          <w:rtl w:val="0"/>
        </w:rPr>
        <w:t xml:space="preserve">St. Martin’s, 356 pp., $26.99</w:t>
      </w:r>
    </w:p>
    <w:p w:rsidR="00000000" w:rsidDel="00000000" w:rsidP="00000000" w:rsidRDefault="00000000" w:rsidRPr="00000000" w14:paraId="000000CA">
      <w:pPr>
        <w:rPr/>
      </w:pPr>
      <w:r w:rsidDel="00000000" w:rsidR="00000000" w:rsidRPr="00000000">
        <w:rPr>
          <w:rtl w:val="0"/>
        </w:rPr>
        <w:t xml:space="preserve">Vladimir Nabokov</w:t>
      </w:r>
    </w:p>
    <w:p w:rsidR="00000000" w:rsidDel="00000000" w:rsidP="00000000" w:rsidRDefault="00000000" w:rsidRPr="00000000" w14:paraId="000000CB">
      <w:pPr>
        <w:rPr/>
      </w:pPr>
      <w:r w:rsidDel="00000000" w:rsidR="00000000" w:rsidRPr="00000000">
        <w:rPr>
          <w:rtl w:val="0"/>
        </w:rPr>
        <w:t xml:space="preserve">Vladimir Nabokov; drawing by David Levine</w:t>
      </w:r>
    </w:p>
    <w:p w:rsidR="00000000" w:rsidDel="00000000" w:rsidP="00000000" w:rsidRDefault="00000000" w:rsidRPr="00000000" w14:paraId="000000CC">
      <w:pPr>
        <w:rPr/>
      </w:pPr>
      <w:r w:rsidDel="00000000" w:rsidR="00000000" w:rsidRPr="00000000">
        <w:rPr>
          <w:rtl w:val="0"/>
        </w:rPr>
        <w:t xml:space="preserve">“Would you be interested in publishing a timebomb that I have just finished putting together?” Vladimir Nabokov asked James Laughlin, the publisher of New Directions, in February 1954. He had finally completed Lolita, after five years of fitful writing amid other pesky obligations. (“I am sick of teaching, I am sick of teaching, I am sick of teaching,” he’d complained to Edmund Wilson a few months earlier.) Laughlin wasn’t interested. Neither was anyone at Viking or Farrar, Straus. Editors at Simon and Schuster called the manuscript “sheer pornography.” Katharine White, Nabokov’s editor at The New Yorker, said that reading Lolita made her “thoroughly miserable.”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The only imprint willing to take on Nabokov’s “pederosis” novel was the Paris-based Olympia Press—known primarily for such salacious lime-green paperbacks as White Thighs and The Carnal Days of Helen Seferis but whose catalog also included Samuel Beckett, Henry Miller, Oscar Wilde, and English translations of Jean Genet—which published it in 1955. Last year marked the sixtieth anniversary of the US publication of the novel. Written as a first-person confession to a jury by a European émigré named Humbert Humbert, Lolita details his obsession and seduction of twelve-year-old Dolores Haze, and his mad dash across all forty-eight states with his “dolorous and hazy darling,” before killing the man who pried her from him. But 2018 also marked a much darker anniversary: seventy years earlier a mechanic named Frank La Salle abducted eleven-year-old Sally Horner in Camden, New Jersey, by pretending to be an FBI agent and set off with her by car on a twenty-one-month journey during which he repeatedly raped her. Two years after she was finally freed, Sally died in a car crash at the age of fifteen.</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Two new books recount Sally Horner’s tragic life in different forms. One, Rust &amp; Stardust by T. Greenwood, is a conventionally fictionalized novel. The other, The Real Lolita, by the reporter Sarah Weinman, is an intriguing hybrid—part true-crime, part literary biography—written as a quest to solve a single question: How much did the author of Lolita know about Sally Horner? Weaving together chapters that juxtapose Sally’s experiences with Nabokov’s writing of his masterpiece, Weinman exposes his ambivalence about plumbing real-life stories for his novels and the extent to which he relied on, but largely obfuscated, such stories in the crafting of his fiction.</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The similarities that Weinman reveals between Sally Horner and Dolores Haze are striking. Both were “brunette daughters of widowed mothers, fated to be captives of much older predators for nearly two years.” La Salle’s cover story was that he was Sally’s father; Nabokov had Humbert Humbert marry Charlotte Haze to gain access to her daughter. La Salle is reported to have plied young Sally with clothes and sweets, while Humbert Humbert orders one “elaborate ice-cream concoction” after another and delights in an entire afternoon spent “buying beautiful things for Lo.” Both captors forced their pre-teen victims to comply by threatening to have them locked up: “He told me that if I went back home, or they sent for me, or I ran away, I’d go to prison,” Sally later told the sheriff of Santa Clara County, California, where she was found.</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There are descriptions in Lolita that appear to be cribbed nearly verbatim from contemporaneous news reports about the Sally Horner case: a “bobby soxer” girl, a “hawk-faced” man (Vivian Darkbloom has a “hawk face”). There is also a direct reference to Sally in Lolita. Placed in parentheses, it represents Humbert Humbert’s tug of a moral conscience: “Had I done to Dolly, perhaps, what Frank Lasalle, a fifty-year-old mechanic, had done to eleven-year-old Sally Horner in 1948?” Earlier in the novel, too, Humbert Humbert seems to have the Sally Horner kidnapping in mind when he tells Dolores: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Only the other day we read in the newspapers some bunkum about a middle-aged morals offender who pleaded guilty to the violation of the Mann Act and to transporting a nine-year-old girl across state lines for immoral purposes, whatever these are.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The ages may be off, but Weinman, relying on the work of the Nabokov scholar Alexander Dolinin, argues that the reference to Sally Horner is unmistakable.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Clearly, then, Nabokov followed Horner’s ordeal. How could he not, Weinman argues, when her release from captivity in 1950 came just as he was bedridden with a mysterious ailment and ready to jettison his attempts at a manuscript about “a man who liked little girls” that, back then, was still called The Kingdom by the Sea? That he knew of the Horner case is one thing, but it is another to determine whether this knowledge influenced his novel in a significant way. Nabokov did not make this task easy. He hated the voyeuristic impulse in readers. “It is strange, the morbid inclination we have to derive satisfaction from the fact (generally false and always irrelevant) that a work of art is traceable to a ‘true story,’” he wrote in his 1944 biography of Nikolai Gogol. But Weinman manages to rise above mere conjecture and to show that Sally Horner was not as “irrelevant” to Lolita as Nabokov would have liked us to believe.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Florence Horner, nicknamed Sally, was born in 1937 in Camden. Her father committed suicide when she was six, and she lived with her mother, Ella, who worked long hours as a seamstress, and with her half-sister, Susan, who was eleven years older than her. The spring Sally turned eleven, a group of girls from school dared her to steal a notebook from a local Woolworth’s. She was caught by a man who presented himself as an FBI agent. She became distraught. The man agreed to let her go, but one afternoon a few months later, he returned. He stopped Sally as she was walking home from school and threatened that if she didn’t meet him at a bus station and accompany him to Atlantic City, he would report her “crime.”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Part of what’s so shocking about this tale, of which ultimately—frustratingly—too little is known despite Weinman’s tenacious digging, is that Sally wasn’t snatched off the street: La Salle made her come to him. That afternoon he instructed her to tell her mother that he was the father of two of her school friends and that she had been invited to join his family for a week’s holiday on the Jersey Shore. Ella was concerned, but relented: “It was a chance for Sally to get a little vacation,” she later explained. “I couldn’t afford to give her one.” Another chilling fact: Ella drove Sally to the bus station to meet her would-be abductor.</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Over the next several weeks Sally occasionally phoned or wrote to her mother, always under the pretense that she was with friends and enjoying herself. Then she stopped calling. Ella grew suspicious and alerted the police, but by the time an eight-state search was underway Sally was nowhere to be found. La Salle and she moved from Atlantic City to Baltimore, where he rented an apartment for them and enrolled her in a local Catholic school. (“Would improvement be forthcoming with a fixed domicile and a routine schoolgirl’s day?” Humbert Humbert wonders when confronted with a sullen Lolita.) After eight months they moved again, this time to Dallas, and later to San Jose. They slept in trailer parks and ate in diners, paid for by odd jobs La Salle found fixing cars.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Intimations of what Sally endured remain vague. They were given voice only by her devastatingly polite, elliptic vocabulary: “The first time was in Baltimore right after we got there. And ever since, too” is how she later described being raped by La Salle to the police. And ever since, too. Four words to describe a world of torment and resignation. Unfortunately for Weinman, and for the reader, this outline of a life on the run doesn’t add up to very much. Sally’s portrait remains blurry. Almost nothing about her survived from this period apart from a photograph found in an Atlantic City boardinghouse after she and La Salle had left. It captures Sally seated on a swing. She is dressed in a white frock with a slight smile on her face. The generic childhood setting is perverted by the knowledge that her photographer was likely her abductor.</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Weinman writes, “If she made friends, or had someone she felt she could trust, I couldn’t find them. If there are people still living who knew her at the time, I could not track them down. If she kept a journal during her captivity, it did not survive.” What was going through Sally’s mind? Did she expect to ever see her mother again? Deciphering a life as unknowable as Sally’s is a tall order, even for a reporter steeped in true-crime history like Weinman (who has also edited the two-volume book Women Crime Writers: Eight Suspense Novels of the 1940s and 1950s). Gaps in the story having to do with Sally’s thoughts throughout her captivity may be written around in a magazine article, where action is prized over interiority (The Real Lolita began as a piece in Hazlitt). But they remain glaringly exposed in book form. We are presented instead with a series of clichés, such as “Absence is as telling as substance.” An inherent problem with true-crime stories such as these, which are pieced together primarily from affidavits and legal motions, is that they often reveal more about the perpetrator’s state of mind than they do about the victim’s. La Salle is shown to have been arrogant, mendacious, and aggrieved, not to mention delusional. Even after pleading guilty to abducting Sally, he continued to refer to her as his “natural daughter,” falsely claiming that he provided for her while her own mother was busy socializing with men.</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The elusiveness of Sally’s story makes it fertile ground for a novelist. T. Greenwood, in Rust &amp; Stardust, has clearly done her research. She remains faithful to the details we know about Sally Horner and Frank La Salle, but it’s as though she is frightened to take liberties with them. What we get instead are sanitized characters. Here is the fictionalized Sally after La Salle has his way with her:</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What are you doing? she wanted to scream. Mama! But there was no air left in her lungs. And he pressed his hand against her mouth.</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And then there was nothing but pain. She shook her head, felt herself plummeting. Sinking. She was drowning.</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The novel progresses in this manner, in clipped, fast-moving chapters and gravelly dialogue. It never comes alive. Lurking in the back of the reader’s mind is the question of ownership. Who controls Sally’s story? Is this a serious attempt to explore it from her point of view, or is the author merely exploiting her for a readymade and sordid plot?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Unlike Greenwood, Weinman makes the most of her findings. One can tell she is a crime writer from her alertness to unusual details. We learn, for example, how teenagers doctored IDs in 1950s Camden by bleaching out the date on their birth certificate and adjusting it with vegetable-based food dye. And we learn that La Salle sent a spray of flowers to Sally Horner’s family on the morning of her funeral. The Real Lolita benefits from interviews with Sally’s brother-in-law, niece (who was born while Sally was in captivity), and best friend.</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Weinman also speaks with La Salle’s estranged daughter, whom she calls Madeline, though that conversation is curiously unprobed. Madeline was two years younger than Sally. Her mother divorced La Salle when she was three and named in the divorce filings five girls with whom he had committed adultery. All of them were younger than sixteen. He spent most of Madeline’s childhood in prison, first for the statutory rape of five girls and later for Sally’s kidnapping, for which he was given thirty to thirty-five years. In 1966, sixteen years into his sentence and what turned out to be the last year of his life, Madeline decided to renew contact with him and even brought her young children to visit him in prison. Asked about La Salle’s crimes, she said: “He was just Dad. Truth be told, I never thought about whether he was guilty or not.”</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International News Photos/Sarah Weinman</w:t>
      </w:r>
    </w:p>
    <w:p w:rsidR="00000000" w:rsidDel="00000000" w:rsidP="00000000" w:rsidRDefault="00000000" w:rsidRPr="00000000" w14:paraId="000000F4">
      <w:pPr>
        <w:rPr/>
      </w:pPr>
      <w:r w:rsidDel="00000000" w:rsidR="00000000" w:rsidRPr="00000000">
        <w:rPr>
          <w:rtl w:val="0"/>
        </w:rPr>
        <w:t xml:space="preserve">Sally Horner on the phone with her family shortly after being rescued, San Jose, California, 1950</w:t>
      </w:r>
    </w:p>
    <w:p w:rsidR="00000000" w:rsidDel="00000000" w:rsidP="00000000" w:rsidRDefault="00000000" w:rsidRPr="00000000" w14:paraId="000000F5">
      <w:pPr>
        <w:rPr/>
      </w:pPr>
      <w:r w:rsidDel="00000000" w:rsidR="00000000" w:rsidRPr="00000000">
        <w:rPr>
          <w:rtl w:val="0"/>
        </w:rPr>
        <w:t xml:space="preserve">Really? Not ever? Weinman does not do more to press Madeline on her moral myopia, one of several missed opportunities in the book. Another occurs when Weinman interviews the daughter of Ruth Janisch, the woman who had a hand in Sally’s release. Janisch lived in a San Jose motor inn; her trailer was parked next to that of La Salle and the girl he claimed was his daughter. She had become friendly with both of them but noticed that La Salle seemed “abnormally possessive” of the girl. It took time for Sally to open up to her, but one morning, while La Salle was out looking for work, Sally confessed the truth: he was not her father, he had kidnapped her, and she wanted to go home. Janisch urged her to call her family. Sally, who was afraid of La Salle’s wrath, finally agreed.</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Janisch was therefore instrumental in liberating Sally and bringing about La Salle’s subsequent arrest. And yet her image as a Good Samaritan is complicated in her daughter’s rendering of the events. The daughter, who is called Rachel in the book, tells Weinman that she and her siblings suffered throughout their own childhood from abuse by their mother’s many romantic partners and that their mother chose to take the men’s word over her children’s. But Janisch instantly believed Sally’s story of abduction and abuse. What was it that made her believe a near stranger but not her own children? That question—with its fictional echoes in a conveniently oblivious Charlotte Haze—is left unexamined.</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How much real-life tragedy can a work of fiction incorporate without attribution? Is a novelist like Nabokov obliged to disclose his sources, especially if they involve living people who may recognize themselves or their loved ones in his work? Or is he free to pick away at reality, to fill the page with his unsuspecting prey? These questions become central to Weinman’s project, as we move away from the story of Sally Horner and toward the metaliterary concern animating her book. This is both to Weinman’s detriment and to her credit. While The Real Lolita is sure to disappoint true-crime enthusiasts, the result is something more tangled: an attempt to understand an elusive artist at work.</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Relying heavily on Dolinin’s and on Bryan Boyd’s research, Weinman cites an index card from the Library of Congress archive, dated August 1952, on which Nabokov transcribed the text of a wire report of Sally Horner’s death. The card contains certain terms—“cross-country slave,” “middle-aged morals offender”—that he had struck out, only to include them in his final manuscript.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Still, the scholarship on Nabokov appears to be split on the “Sally effect,” when it is even recognized as such. Dolinin finds clues that point to Sally everywhere he looks in Lolita. References to Dolores’s “Florentine hands” and “Florentine breasts,” he suggests, “evoke not only Botticelli” but also Sally, née Florence. He treats the mention of Sally as a “deliberately planted” riddle and tells Weinman that the reality-averse Nabokov did not attempt to cover his tracks—quite the opposite. He filled Lolita with ways of commemorating Sally, including transposing La Salle’s description and profession onto minor characters, such as Dick Schiller, Dolores’s future husband, who is a mechanic. Even the parenthetical in which Sally’s name appears, Dolinin claims, is not meant to signal marginality but is the author’s preferred way of conveying importance.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Robert Roper, on the other hand, acknowledges the importance of the real girl in shaping the fictional one but seems to miss possible allusions to Sally’s story. He believes that the car obsession of Clare Quilty, “the self-sufficient rapist with pustules and a souped-up car” who lures Dolores away from Humbert Humbert, was inspired by Vladimir and Véra’s son, the “auto-mad” Dmitri, rather than by the actual rapist—and mechanic—Frank La Salle. (Think of the implied contrast between Quilty and the “not very mechanically-minded but prudent papa Humbert.”)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Weinman believes, like Dolinin, that the Sally Horner ordeal was instrumental not only in Nabokov’s plotting of Lolita but in helping him finish it. She takes a skeptical view of his repeated and defensive denials that the novel had any connection to the real-life story. “It did not inspire the book,” Véra Nabokov told an inquisitive reporter snooping for parallels between Lolita and Sally Horner in 1963. She went on admonishingly: “My husband wonders what importance could possibly be attached to the existence in ‘real’ life of ‘actual rape abductions’ when explaining the existence of an ‘invented’ book.” Véra’s biographer, Stacy Schiff, tells Weinman that this chiding was thoroughly in keeping with the Nabokovs’ dismissal of anything scandalous or pedestrian, of any “mandarin influence on high art.”</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This was perhaps also Nabokov’s way of distinguishing himself from the shadow of Dostoevsky, who famously scoured newspapers and courthouses to find inspiration for his novels and whom Nabokov considered to be a “third rate writer.” Nabokov viewed his literary task not as representing the world but as creating it from thin air, the weirder the better, “causing form to bulge and burst like a sponge-bag containing a small furious devil.” When critics praised Lolita as an American novel, he bristled: “I have invented in America my America and just as fantastic as any inventor’s America.” Yet surely one of the pleasures of reading Lolita lies in its unmatched evocation of existing places, its breathless sweep across recognizable landscapes: the “stern El Greco horizon, pregnant with inky rain, and a passing glimpse of some mummy-necked farmer, and all around alternating stripes of quick-silverish water and harsh green corn, the whole arrangement opening like a fan, somewhere in Kansas.”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Nabokov’s insistence on the fantastic seems at odds with his other professed desire, which was to have his novels seem as lifelike as possible. Boyd, in his definitive Nabokov: The American Years (1990), portrays Nabokov as a shoe-leather reporter: riding buses in order to catch snippets of schoolgirl conversations (“It’s a sketch,” “I have zillions”), saving newspaper clippings, even pretending to be a father enrolling a daughter in school so that he could meet with the principal—resulting, presumably, in his indelible portrait of headmistress Pratt. (“We are not so much concerned, Mr. Humbird, with having our students become bookworms or be able to reel off all the capitals of Europe which nobody knows anyway.”)</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By the end of The Real Lolita, we may not learn as much as we wished about Sally Horner. But we do come closer to understanding the mad genius of Nabokov as fabricator—both a creator of life and a collector of its moments. (No wonder he became an authority on Lepidoptera.) When he learns of a kidnapping case in 1948, involving the transport of a young girl across state lines by a “middle-aged morals offender,” he slips it into the novel that has been tormenting him. As he put it in his Lectures on Russian Literature (1981): “To make his magic, fiction, look real the artist sometimes places it, as Tolstoy does, within a definite, specific historical frame, citing facts that can be checked in a library—that citadel of illusion.”</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ybooks.com/articles/2019/02/07/social-movements-path-greatest-re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