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The Today’s Issues group will not meet on December 30, but will resume on January 6 to discuss two articles from the December 20 issue of the New York Review of Books:</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Page 27, Anne Diebel, “Simple Answers to Profound Questions,” a review of a book about the creators of the Myers-Briggs personality test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Page 68, T.H. Breen, “Founding Frenemies,” a review of a book about John Adams and Thomas Jefferson.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group meets in the parlor of the Religious Education building next to the Church.  Please do the reading and join our lively discussion.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 copy of the readings follows: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Simple Answers to Profound Questions</w:t>
      </w:r>
    </w:p>
    <w:p w:rsidR="00000000" w:rsidDel="00000000" w:rsidP="00000000" w:rsidRDefault="00000000" w:rsidRPr="00000000" w14:paraId="0000000B">
      <w:pPr>
        <w:rPr/>
      </w:pPr>
      <w:r w:rsidDel="00000000" w:rsidR="00000000" w:rsidRPr="00000000">
        <w:rPr>
          <w:rtl w:val="0"/>
        </w:rPr>
        <w:t xml:space="preserve">Anne Diebel DECEMBER 20, 2018 ISSUE</w:t>
      </w:r>
    </w:p>
    <w:p w:rsidR="00000000" w:rsidDel="00000000" w:rsidP="00000000" w:rsidRDefault="00000000" w:rsidRPr="00000000" w14:paraId="0000000C">
      <w:pPr>
        <w:rPr/>
      </w:pPr>
      <w:r w:rsidDel="00000000" w:rsidR="00000000" w:rsidRPr="00000000">
        <w:rPr>
          <w:rtl w:val="0"/>
        </w:rPr>
        <w:t xml:space="preserve">The Personality Brokers: The Strange History of Myers-Briggs and the Birth of Personality Testing</w:t>
      </w:r>
    </w:p>
    <w:p w:rsidR="00000000" w:rsidDel="00000000" w:rsidP="00000000" w:rsidRDefault="00000000" w:rsidRPr="00000000" w14:paraId="0000000D">
      <w:pPr>
        <w:rPr/>
      </w:pPr>
      <w:r w:rsidDel="00000000" w:rsidR="00000000" w:rsidRPr="00000000">
        <w:rPr>
          <w:rtl w:val="0"/>
        </w:rPr>
        <w:t xml:space="preserve">by Merve Emre</w:t>
      </w:r>
    </w:p>
    <w:p w:rsidR="00000000" w:rsidDel="00000000" w:rsidP="00000000" w:rsidRDefault="00000000" w:rsidRPr="00000000" w14:paraId="0000000E">
      <w:pPr>
        <w:rPr/>
      </w:pPr>
      <w:r w:rsidDel="00000000" w:rsidR="00000000" w:rsidRPr="00000000">
        <w:rPr>
          <w:rtl w:val="0"/>
        </w:rPr>
        <w:t xml:space="preserve">Doubleday, 307 pp., $27.95</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“Personality is never general; it is always particular,” wrote Gordon Allport, a Harvard psychologist, in 1938. While “personality” once meant merely personhood, since the late eighteenth century it has referred to the qualities that make a person distinctive. Within the field of psychology, the term was initially used of abnormal clinical phenomena, such as the “alternating” and “double” personality William James discussed in The Principles of Psychology or the “dissociation of personality” that Morton Prince examined in his 1906 book of that name. But in the 1920s and 1930s, in part through Allport’s work, personality—including the “normal” kind—became a central concern of psychological research, with journals, textbooks, courses, and conferences devoted to the subject. In 1930 Allport remarked that interest in personality had reached “astonishing proportions,” and in 1938 he declared “the discovery of personality” to be “one of the outstanding events in psychology of the present century.” But he worried that his colleagues had become too concerned with measurement and the search for general laws, and he cautioned against the assumption that one could understand “the totality of a personality by having a series of scores.”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first personality test in the US was the Woodworth Personal Data Sheet, which was developed during World War I as a way of identifying recruits who might be susceptible to shell shock. It consisted of 116 questions that measured neuroticism, such as, “Are you often frightened in the middle of the night?” Numerous self-report questionnaires followed. The Thurstone Personality Schedule and the Bernreuter Personality Inventory, which appeared around 1930, posed dozens of yes-or-no questions that yielded scores on several scales, including extroversion–introversion. The Minnesota Multiphasic Personality Inventory (MMPI), published in the early 1940s, consisted of 504 statements, to which test-takers were to respond “True,” “False,” or “Cannot Say”: “I loved my father”; “I have never had any black, tarry-looking bowel movements.” There were also “projective” tests, with no set answers: Hermann Rorschach’s inkblots, introduced in Switzerland in 1921 and popularized in the US in the 1930s; and the Thematic Apperception Test (TAT), developed in the 1930s by the Harvard psychologist Henry Murray and his colleague and lover Christiana Morgan, which asked the subject to tell stories about a set of ambiguous, unsettling drawings—a boy looking at a violin, a woman clutching the shoulders of a man whose face and body are averted from her.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temptation of a series of scores was too great; several of these tests are still widely used, and are part of a multi-billion-dollar industry fraught with questionable science and questionable applications, as Annie Murphy Paul discusses in her meticulously researched 2004 book, The Cult of Personality Testing. Although the tests’ creators were thoroughly credentialed—professors at top universities and doctors at top hospitals—their projects were shaped, as Paul argues, “by the demands of industry and government.” Some tests, including the Rorschach and the MMPI, were originally intended for use with the mentally ill but were eventually given to the general population as well; others were designed for “normal” people, to measure their aptitude for combat, school, or the workplace. The Humm-Wadsworth Temperament Scale, for example, was designed in 1935 by a psychologist and the vice president of a natural-gas company to help personnel departments. It was extolled in a 1942 Reader’s Digest article as a “people-sorting instrument” that could “place the worker in the proper niche, keep him happy, and increase production.” People-sorters, which had been around since the 1910s, were sometimes used to screen out Communists and union sympathizers and to select “henpecked husbands” disposed to submit to a boss. The Reader’s Digest article presented a happier picture, of managers constructively pointing out their workers’ faults, which the workers would then graciously temper.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Isabel Briggs Myers, a housewife in Swarthmore, Pennsylvania, read this article with great interest and immediately wrote to her mother, Katharine Cook Briggs. These two women and the “Indicator” they would create are the subject of Merve Emre’s The Personality Brokers, an archivally rich mix of history, biography, and a bit of reporting. Katharine and Isabel had no formal training in psychology or psychiatry. In Emre’s telling, they simply perceived “how hungry the masses were for simple, self-affirming answers to the problem of self-knowledge.” They believed they could “craft a language of the self that was free from judgment,” and they set out to help people put their “different gifts” to appropriate uses, particularly in the workplace.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Although Isabel led the development of the Myers-Briggs Type Indicator, her mother had built its foundation through long study. Katharine was born in Michigan in 1875 to a zoologist father and a devout Christian mother, and as a student at Michigan Agricultural College she was “wrenched and shaken” by her recognition that “science may lack the data that the soul possesses.” She was concerned with the “problem of personal salvation” and came to believe that specialized labor—one line of work, pursued zealously and for the social good—would ensure redemption. After college, she married Lyman Briggs and moved to Washington, D.C., where she turned her home into a “laboratory of baby training,” instilling obedience and curiosity in Isabel, her only surviving child, and reporting on her activities in magazine articles.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When Isabel left for Swarthmore College, in 1915, the “educational experiment” that had occupied Katharine for eighteen years came to an end, and she grew anxious and depressed. She invented and patented contraptions for luggage and purses; she read works of biography and philosophy; she wrote a screenplay and short stories; finally, she spent much of her days playing solitaire. In 1923, Katharine discovered Carl Jung and, inflamed with passion—which extended to Jung himself, about whom she began writing gay erotica—she dedicated her life to thinking about “type.” “One need not be a psychologist in order to collect and identify types,” Katharine wrote in a 1926 New Republic article explaining and elaborating on Jung’s theory, “any more than one needs to be a botanist to collect and identify plants.”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 his 1921 Psychological Types, Jung proposed that people could be classified according to their basic psychological functions and attitudes. Katharine impressed Jung’s importance on Isabel, who in 1942 would draw on his “magnificent idea” and postulate sixteen possible types made up of four binaries, expressed in pairs of letters: extroversion (E) or introversion (I), intuition (N) or sensing (S), thinking (T) or feeling (F), judging (J) or perceiving (P). The Indicator was designed not to identify “problems” (traits that might cause trouble on a battlefield or a production line, for instance) but to describe psychologically unremarkable people in a neutral or positive way. From the beginning, Katharine understood the importance of equality. In 1926 she noted that “neither credit nor discredit is attached to membership in any type, since each has its failures, its mediocrities, and its successes.” The first published version of the Indicator, from 1943, offered comforting instructions: it was “not, strictly speaking, a test,” for there were “no right or wrong answers,” and whatever the results, “each type has its own special advantages.”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This nonjudgmental tone and lack of hierarchy, and the presumption of universal specialness, help account for the enduring popularity of the MBTI (as it is now known), which boasts some two million users per year. Fortune 500 companies, Silicon Valley startups, financial and consulting firms, and US government agencies routinely use it to screen applicants and to gain insight into employees, and it’s a common feature of executive training sessions and staff retreats. The Financial Times reports that McKinsey employees’ internal profile pages list their MBTI types. It’s used by religious schools to evaluate applicants, and by all kinds of career counselors. Many people choose to take it on their own, drawn in by the promise of recognition and belonging. The “minimal group paradigm” of social psychology describes how people randomly assigned to trivially defined groups (the Klee or Kandinsky types, the red shirts or the blue shirts) will often identify with and favor their own group at the expense of others. There is an international network of MBTI meetups for those who wish to congregate with their own type.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Crucial to the MBTI’s success as a tool of both self-discovery and the assessment and management of others is a conception of personality as immutable, even congenital. “Every one of us is born either an extravert or an introvert, and remains extravert and introvert to the end of his days,” Katharine wrote. But although most consumers of the test presume its powerful claims must have some kind of scientific basis, for decades the MBTI has been regarded by scientists as ill-founded. It has been criticized for its strict dichotomies—many people will be somewhere in between the two poles of a given category, and studies show that around half of users retaking the same questionnaire are assigned a different type—and for its failure to predict outcomes in such areas as job performance and team effectiveness. It has been called “an act of irresponsible armchair philosophy,” “too slick and simple, possessing an almost horoscope-like quality,” and “a party game.”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Indeed, although some defenders of the MBTI insist on its scientific validity and reliability, the ideas underlying its creation were drawn from Jung and from popular culture. The notion, embraced by Katharine and Isabel, that one’s defining qualities never evolve or fluctuate represented an evolution in such popular thinking, a departure from both the Protestant ideal of character that prevailed in the nineteenth century and the conception of personality that emerged in the early twentieth. Character, according to the earlier view, could be built: if you were not naturally endowed with a sense of rightness and civic duty, you could just read a book of character studies for emulation. Starting in the early twentieth century, according to the historian Warren Susman, this valorization of character gave way to a fascination with personality. Like character, personality could be acquired, though toward different ends. Self-help manuals in the 1910s and 1920s encouraged readers to think of themselves as somebodies, and instructed them on matters such as poise, elocution, and charm. “You can compel people to like you,” wrote the self-help guru Orison Swett Marden in Masterful Personality (1921), a prospect most famously explored in Dale Carnegie’s How to Win Friends and Influence People (1936). Although personality was thought by some to be a special property that select people had—“a certain something,” “an indescribable something,” “an indefinable quality,” or just “It”—it was generally thought to be available to anyone who put in the effort. It was less a particular collection of qualities than a blankness that invited projection and desire.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Most psychologists of the 1920s and 1930s held that everyone, by virtue of being a person, already had personality, though how individual qualities could be measured and classified was another matter. After reading the Reader’s Digest article in 1942, Isabel began working for Edward N. Hay and Associates, a Philadelphia firm that developed workplace aptitude tests. She was tasked with validating the Humm-Wadsworth Temperament Scale, which she pronounced useless. Rather than peg workers as normal or abnormal, Isabel realized, management should identify workers’ strengths and strive to make everyone feel needed, in order to boost both morale and efficiency.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She soon began devising her own test. She formulated the sixteen-type table; she drafted questions she thought would reveal a person’s nature—“Do you prefer to (a) eat to live, or (b) live to eat?”—and tried them on family and friends. In May 1943 Isabel copyrighted the Indicator, and in July she pitched it to Hay, who agreed to use and distribute it. The Indicator did not immediately find its niche in the growing personality testing industry, and it wasn’t until the mid-1970s that it became a financially successful product. Emre recounts these early struggles and triumphs in great detail, a valuable expansion of the concise history offered by Annie Murphy Paul and others.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Like her mother, Isabel had tried her hand at many things. “What are the right things for me?” she wrote to Katharine in 1918 as she looked for a job in Memphis, where her husband, Clarence “Chief” Myers, was training to be a bomber pilot. The couple soon moved to Philadelphia, where Chief would attend law school, and in 1923 Isabel moved in with her parents for a spell to save money. While there she started a “Diary of an Introvert Determined to Extravert, Write, &amp; Have a Lot of Children,” which contained Gatsby-like to-do lists (“Two hours writing”; “Never wear anything soiled”). She had a son in 1926 and a daughter the following year, and she raised them by her mother’s paradigm of obedience and curiosity.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In 1928 she saw an announcement in New McClure’s Magazine for a mystery-novel contest and resolved to write a book by the deadline, which was five months away. Her submission, Murder Yet to Come, won the contest, earning her a cash prize of $7,500 (more than $100,000 today), serial publication, and a two-book contract. But most of her prize money went into stocks that died in the crash, and although for a few years she kept writing—including, with resignation, the second book she owed her publisher, which was panned by reviewers—by 1934 she had recommitted to the vocation of motherhood. It would be another eight years before she turned to people-sorting, which would occupy her for the rest of her life.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Isabel’s first client, Emre reveals, was the Office of Strategic Services, the forerunner to the Central Intelligence Agency. The OSS had been charged with selecting and training spies, for which it set up Station S, a secret assessment center on an estate outside Washington, D.C. Operatives were to be matched with the missions best suited to their personalities, a task that proved daunting for the center’s leader, Henry Murray, the former director of the Harvard Psychological Clinic and cocreator of the TAT, whose ideas about espionage came from novels. In 1944 Donald MacKinnon, Murray’s graduate student, purchased the Indicator and added it to the center’s intake process. After the war, he used it in a series of studies on creative people he conducted as the director of UC Berkeley’s new Institute of Personality Assessment and Research (IPAR). IPAR invited writers, painters, and architects to participate in tests, games, and therapy, and to be observed interacting with one another. (Oddly, despite devoting chapters to both Station S and IPAR, Emre does not discuss how or to what extent the Indicator was used by these institutions—though she did post on Twitter a “type table,” evidently from IPAR’s archives, classifying William Carlos Williams as an INFJ and Truman Capote as an ENFP—or whether this use lent it legitimacy.)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Emre, a scholar of postwar American culture, presents the Indicator as a naive instrument of a bullish era that promoted adjustment and conformity. In The Organization Man (1956), William H. Whyte reported that 60 percent of the American companies he had surveyed in 1954 were using personality tests (his book includes a delightful appendix: “How to Cheat on Personality Tests”). By the mid-1950s, utilities, pharmaceutical, and insurance companies were ordering large quantities of the Indicator and sometimes requesting Isabel’s help in understanding its broader implications, as General Electric did when it asked her to analyze its top executives.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1959 Henry Chauncey, a former Harvard dean and the founder and president of Educational Testing Services (ETS), which began publishing the Scholastic Aptitude Test (SAT) in 1943 and was now exploring mass personality testing, offered Isabel a contract, and the Indicator gained other major clients, including the Protestant Episcopal Church, Brown University, and the California State Department of Corrections. But despite Chauncey’s enthusiasm about the Indicator, his colleagues nearly all viewed it with skepticism. Trying to validate it, they discovered irregularities. A statistics Ph.D. tasked with writing a manual for the Indicator savaged it in an internal memo. The theory behind the Indicator, he wrote, was Jungian but with even “less in the meaning of the terms.” “E-I merely measured talkativeness,” and “S-N was merely conservatism versus liberalism.”</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Emre, too, is critical of the MBTI, but who wouldn’t be? Its cheerful simplicity, its vague, mystical underpinnings, its coziness with business psychology, the way it endorses normality in the guise of self-acceptance—it’s an easy target. What distinguishes Emre’s book is its close, sympathetic study of the test’s creators and their aspirations. They clearly had goals aside from making money, and they never did make much; the boom happened after Isabel’s death in 1980. Katharine loftily “believed that knowing one’s type could save the soul of an individual while prompting him to assume the specialized offices that would help him advance civilization.” Emre confesses in the book’s introduction that at times she wanted it to be “a story of feminist triumph.” As scientifically unsound as type has proven to be, it’s still painful to read about Isabel’s being dismissed by the all-male ETS staff as “that horrible woman.” She and Katharine were scrappy and determined, and even when they crossed ethical lines—Katharine tried to “see [the] soul” of a teenage girl by analyzing her dreams (for which she was scolded by Jung), and Isabel persuaded the principal of her kids’ high school to give her copies of students’ permanent records and IQ tests—it’s hard not to admire their boldness.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Isabel’s father, mother, and forty-four-year-old daughter died in the span of a decade, and in 1975 she learned she had tumors throughout her body. The same year, ETS, which had continued to publish the Indicator despite its poor financial results, formally ended its contract with her. But in her last years Isabel laid the groundwork for the MBTI’s later success. She began working with Mary Hawley McCaulley, a psychologist at the University of Florida who would revive the Indicator and launch the Center for Applications of Psychological Type, where Isabel’s papers would be closely guarded (Emre was denied access to them). Isabel and Mary found a new publisher, Consulting Psychologists Press (CPP), which made the Indicator shorter and its descriptions of type “less dogmatic,” and soon introduced a self-scoring version. CPP sold the Indicator to anyone who would pay, and revenues climbed, from $10,000 in 1975 to $100,000 in 1979. (It is still published by CPP, for which it is the driving force behind roughly $20 million of annual revenue.) By the time Isabel died, in 1980, the Indicator had already achieved cult status: it was the topic of dissertations and an annual international conference; it had secured a motley global following, with, for instance, 250,000 users per year in Japan; and a book adapting Isabel’s ideas, Please Understand Me (1978), was on its way to becoming a best seller.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 major tendency in postwar clinical psychology has been to move away from binaries (normal/abnormal, extrovert/introvert, etc.) and toward ideas of a spectrum or continuum. Starting in the 1950s, researchers seeking to identify personality’s basic components kept arriving at five essential factors: openness to experience, conscientiousness, extroversion, agreeableness, and neuroticism, known since the 1980s as the “Big Five.” Big Five–based tests give users percentages or levels of each trait, rather than spitting out a four-letter epithet. But like the MBTI, these tests depend on self-reporting, so their accuracy may be undermined by subjects’ self-deception, lack of self-awareness, or varying abilities to comprehend the questions themselves and the possible intent behind them—a Keynesian beauty contest of gaming out the psychological significance of selecting one answer over another.*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Although there are tools for investigating personality that do not depend on subjects’ self-knowledge, including functional magnetic-resonance imaging (fMRI), which some researchers claim can show differences between the brains of introverts and those of extroverts (among other things), such scientific advances are not likely to threaten the MBTI and its kin, which serve a different purpose. The MBTI is wildly unempirical, but the need it answers is not fundamentally about knowledge. Like astrology (which is newly trendy and lacks the MBTI’s Boomer corporatism), or even the Hogwarts houses (which have been embraced, with levity and sincerity, by fans of the Harry Potter novels), typology need not be believed to be found useful or diverting.</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MBTI is still thriving. Enthusiasts claim that it has saved their marriages, or inspired them to find new partners or new jobs; it has taught them to accept themselves and others, even helped them connect to God (“Jesus was a classic ENTP,” Paul deadpans). They blazon their initialisms on dating and social-media profiles. Thousands of people have paid thousands of dollars to be certified to administer the MBTI. Of course, for many who encounter it, in school, at work, or on the Internet, it’s just another personality quiz: not particularly meaningful, but fun and harmless—an attitude that helps explain Cambridge Analytica’s success in deploying Big Five–based personality questionnaires to collect data about Facebook users. In the age of the tongue-in-cheek BuzzFeed quiz, answering a few questions about yourself seems like no big deal.</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But placing oneself and others in categories is perilous. Hiring and promotion decisions can always be attributed to “fit,” an ominously vague term that can cloak myriad forms of bias. A 2002 study found several pervasive misconceptions among HR managers concerning the effectiveness of certain staffing practices; a majority of managers believed “there are really only four basic dimensions of personality, as captured by the Myers-Briggs Type Indicator,” and that conscientiousness was a better predictor of job performance than intelligence. Employers have been sued over their use of personality tests that ask questions about religion, sexual orientation, political beliefs, and drug use. In 1994 a security company was sued for asking applicants for security guard positions whether they thought “most companies make too much profit” and “marijuana should be legalized.” Although personality tests are not used in undergraduate admissions, personality has been an important—and nebulous—area of assessment since the advent of the “well-rounded” candidate and holistic review. The lawsuit against Harvard for discriminating against Asian-American applicants, who tended to be rated lower than others on such metrics as “positive personality” and “likability,” has renewed questions about the extent to which such decisions should take into account personal characteristics, and how those can be fairly assessed.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Gifts Differing was the title of Isabel’s book about psychological type, which she finished on her deathbed—but of course not all gifts are valued equally. The belief in unchanging fundamental personal characteristics, which is a big part of her test’s reassuring appeal, can easily reinforce a belief in natural hierarchy. The very concept of type is conservative, premised on a sense that certain things are predetermined, which can lead to control as well as to acceptance.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Keynes described a theoretical contest in which the participants base their choices not on their true preferences but on what they perceive to be the underlying consensus about the best selections.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Founding Frenemies</w:t>
      </w:r>
    </w:p>
    <w:p w:rsidR="00000000" w:rsidDel="00000000" w:rsidP="00000000" w:rsidRDefault="00000000" w:rsidRPr="00000000" w14:paraId="00000048">
      <w:pPr>
        <w:rPr/>
      </w:pPr>
      <w:r w:rsidDel="00000000" w:rsidR="00000000" w:rsidRPr="00000000">
        <w:rPr>
          <w:rtl w:val="0"/>
        </w:rPr>
        <w:t xml:space="preserve">T.H. Breen DECEMBER 20, 2018 ISSUE</w:t>
      </w:r>
    </w:p>
    <w:p w:rsidR="00000000" w:rsidDel="00000000" w:rsidP="00000000" w:rsidRDefault="00000000" w:rsidRPr="00000000" w14:paraId="00000049">
      <w:pPr>
        <w:rPr/>
      </w:pPr>
      <w:r w:rsidDel="00000000" w:rsidR="00000000" w:rsidRPr="00000000">
        <w:rPr>
          <w:rtl w:val="0"/>
        </w:rPr>
        <w:t xml:space="preserve">Friends Divided: John Adams and Thomas Jefferson</w:t>
      </w:r>
    </w:p>
    <w:p w:rsidR="00000000" w:rsidDel="00000000" w:rsidP="00000000" w:rsidRDefault="00000000" w:rsidRPr="00000000" w14:paraId="0000004A">
      <w:pPr>
        <w:rPr/>
      </w:pPr>
      <w:r w:rsidDel="00000000" w:rsidR="00000000" w:rsidRPr="00000000">
        <w:rPr>
          <w:rtl w:val="0"/>
        </w:rPr>
        <w:t xml:space="preserve">by Gordon S. Wood</w:t>
      </w:r>
    </w:p>
    <w:p w:rsidR="00000000" w:rsidDel="00000000" w:rsidP="00000000" w:rsidRDefault="00000000" w:rsidRPr="00000000" w14:paraId="0000004B">
      <w:pPr>
        <w:rPr/>
      </w:pPr>
      <w:r w:rsidDel="00000000" w:rsidR="00000000" w:rsidRPr="00000000">
        <w:rPr>
          <w:rtl w:val="0"/>
        </w:rPr>
        <w:t xml:space="preserve">Penguin, 502 pp., $35.00; $18.00 (paper)</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Thomas Jefferson; painting by Maira Kalman. It and the painting of John Adams on page 70 are from her book Thomas Jefferson: Life, Liberty and the Pursuit of Everything, published in 2014.</w:t>
      </w:r>
    </w:p>
    <w:p w:rsidR="00000000" w:rsidDel="00000000" w:rsidP="00000000" w:rsidRDefault="00000000" w:rsidRPr="00000000" w14:paraId="0000004E">
      <w:pPr>
        <w:rPr/>
      </w:pPr>
      <w:r w:rsidDel="00000000" w:rsidR="00000000" w:rsidRPr="00000000">
        <w:rPr>
          <w:rtl w:val="0"/>
        </w:rPr>
        <w:t xml:space="preserve">In the contest with Thomas Jefferson for popularity, John Adams had no chance. The fault was almost entirely his own. Even friends found Adams’s irascibility, vanity, and pomposity embarrassing. Enemies had far worse things to say about the second president. During the run-up to the bitterly fought election of 1800, one of Adams’s detractors wondered whether future historians would “ask why the United States degrades themselves to the choice of a wretch whose soul came blasted from the hand of nature, of a wretch that has neither the science of a magistrate, the politeness of a courtier, nor the courage of a man.” Adams admitted that his problems in communicating with the public were of his own making. “There have been many times in my life,” he wrote in 1805, “when I have been so agitated in my own mind as to have no consideration at all of the light in which my words, actions, and even my writings would be considered by others.”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Unlike Adams, Jefferson seemed to float above controversy. Because he seldom shared personal feelings, contemporaries generally gave him the benefit of the doubt, assuming perhaps that emotional self-control in public was evidence of wisdom. They praised his extraordinary intelligence, cosmopolitan temperament, and balanced judgment. Although Jefferson mastered the give-and-take of everyday politics as well as any subsequent president, he successfully masked his own ambition and deflected the kinds of criticism that plagued Adams. And of course Jefferson possessed a talent that Adams could not claim: he knew how to turn a phrase. The opening words of the Declaration of Independence not only inspired a revolutionary generation but have also challenged Americans to this day to fulfill the promise of social equality.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In Friends Divided, Gordon S. Wood, the Pulitzer Prize–winning historian of the American Revolution, assumes a daunting assignment. What could he possibly add to our understanding of the lives of these two men? Both have been the subject of scores of biographies. But he pulls it off. The source of his book’s originality is Wood’s insistence that we see the political ideas of Adams and Jefferson from a fresh perspective. Although he discusses Jefferson’s long and complex relationship with his slave Sally Hemings, he pays little attention to other intimate family matters or to personal financial affairs. Rather, the focus is on how Jefferson and Adams understood the implications of our Revolution. For them, what was at stake was the survival of the republic.</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Wood dismisses the notion that Adams was just an earnest revolutionary who failed spectacularly to understand a republican system of government based entirely on the will of the people. He urges us to take Adams’s political ideas seriously. Indeed, Wood argues persuasively that Adams has a lot to tell us about how economic inequality and special privilege can undermine the stability of civil society. The crucial issues dividing these two revered Founders—about the strength of the central government, about the ability of the people to select honest and able rulers, and about the danger of concentrated wealth to the common good—are as urgent today as they were for Adams and Jefferson.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Had it not been for the Revolution, Adams and Jefferson would probably not have met. They came from strikingly different backgrounds. The owner of a large plantation and many slaves, Jefferson enjoyed a privileged life as a Virginia gentleman. Although burdened by debt, he indulged in expensive European goods, and in this self-consciously aristocratic society other wealthy planters rewarded a young man from an elite family with political responsibilities.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Adams did not move in these circles. Solidly middle-class, he relied on his skills and intelligence to establish a comfortable law practice. No doubt the Puritan traditions of New England affected his perceptions of human nature. Unlike Jefferson, who exuded optimism about social progress, Adams assumed that most people were self-absorbed and avaricious. Moreover, even though other political figures in Massachusetts respected him, he always felt that the members of the colony’s wealthiest families dismissed him as a parvenu. Wood describes Adams as a “new man” who was the product of the Revolution in a way that Jefferson was not: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Adams in his rise to public office dramatically reversed the relationship between social and political authority that existed in the traditional prerevolutionary society. In his case, his positions in government were the principal source of his social rank, not the other way around, as was the case with Jefferson, Washington, and many other leaders.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Throughout his long life, Adams never forgot how as an aspiring young lawyer he had been slighted by the Boston elite. In 1776 he proclaimed the American Revolution a great historical moment because after independence all “the Dons, the Bashaws, the Grandees, the Patricians, the Sachems, the Nabobs, call them by what Name you please, [will] sigh, and groan, and fret, and Sometimes Stamp, and foam, and curse—but all in vain.” A few “monopolizing Families,” he predicted, “will be brought down nearer to the Confines of Reason and Moderation, than they have been used.”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After their selection to the Continental Congress, Adams and Jefferson forged a friendship that somehow endured for another fifty years, despite growing personal differences. Jefferson’s greatest moment came when his colleagues asked him to produce the Declaration of Independence. Adams, Benjamin Franklin, and others served on the drafting committee, but except for a few marginal changes, the work was entirely Jefferson’s. During the early desperate years of war, Adams focused on day-to-day government affairs. As a member of a score of congressional committees, he devoted himself tirelessly to securing national liberation. Later, after both men had accepted diplomatic posts in Europe, they became even closer, organizing family visits and seeking advice from each other about complex negotiations with France and Great Britain. If Adams and Jefferson had not shared these experiences, it is doubtful that their friendship could have survived the difficult time ahead when profound ideological divisions meant that they were not even on speaking terms for long periods.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Only after independence did Jefferson and Adams begin to sense just how much they disagreed about the future of the republic. Jefferson put his faith in the American people. After reading the work of John Locke and other thinkers associated with the European Enlightenment, he concluded that all human beings were born as a blank slate. Experience inscribed different ideas on their minds. Nurture, not nature, shaped their assumptions about government and society. In that sense, all people started in an equal position. Whatever erroneous opinions they acquired over time resulted from a defective cultural environment. The way to improve the lives of ordinary Americans, Jefferson believed, was to free them as much as possible from government rules and regulations. Liberating them from such coercion would allow their fundamental goodness to emerge. To advance such a state, Jefferson recommended access to better education.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Jefferson did not mean, of course, that this was true of “all men.” In his Notes on the State of Virginia (1785), he excluded African-Americans. As Wood explains, “Jefferson suggested that black Africans might be so different from whites—that they did not begin life with blank slates similar to other human beings—that education and cultivation could never make them equal.” He did not give much more encouragement to women in his imagined world of white farmers, who he believed would preserve a free and independent nation.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Adams closely followed Jefferson’s arguments for social equality and innate goodness. He found them utter nonsense. Unlike most of the Founding Fathers, he was not a child of the Enlightenment. Although not a deeply religious person, Adams could not liberate himself from the harsh Calvinist environment of his youth. A realistic assessment of human society throughout recorded history, he insisted, revealed that most people most of the time engaged in a ceaseless scramble for social and economic supremacy. They measured success almost entirely by the acquisition of material goods. Since nothing could change human nature, people were left with two choices. They could choose to ignore the endless contest for dominance and allow the “few” to oppress the “many,” a process that inevitably led to despotism. Or they could attempt to create a system of government capable of protecting the rights and liberty of the great mass of ordinary working people from a small, privileged group that had no interest in sharing power.</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Adams believed that Jefferson’s expansive assumptions about human equality only served to mask the vicious struggle for social dominance. To claim that all men were created equal ignored the fact that some people were born with obvious advantages. Of course, from a narrow perspective, Adams admitted that all men were equal before the law. That was a fundamental element in common law. But in a larger social sense, anyone could see that individuals began life possessing very different attributes.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One could perhaps accommodate to these distinctive personal traits. Wealth, however, was another matter. It gave the privileged few a huge head start. Adams had no doubt that “the children of illustrious families have generally greater advantages of education, and earlier opportunities to be acquainted with public characters, and informed of public affairs, than those of meaner ones.” All of his voluminous reading, from the ancient Greeks to modern political philosophers, reinforced Adams’s conclusion that certain families would always use their personal resources to secure a privileged status. Based on what he regarded as irrefutable historical evidence, he demanded to know whether there was “or will there ever be, a nation, whose individuals were all equal in natural and acquired qualities, in virtues, talents, and riches.”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For Adams, candid recognition of natural inequality was vital to the country’s future. After all, he believed, it posed the greatest challenge to the survival of republican government in the United States. Something had to be done to control the chicanery of the wealthiest Americans. He labeled this group of people “the rich, the well-born and the able,” or sometimes simply “the aristocracy.” The problem for Adams was that even though he feared the machinations of the privileged class, he could not bring himself to advocate any form of economic leveling. Property had to be protected. He certainly did not think of class in nineteenth-century terms. Ideas advanced by contemporaries such as Thomas Paine—such as the belief that strong government works against the true interests of society—had no appeal for him.</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Still, the aristocratic danger to the rights of ordinary people remained real—indeed, urgent. As Wood observes, during the 1780s Adams came “to appreciate more fully than ever before the power and influence of the aristocracy in public life.” He insisted that unless they were “constrained and segregated, the rich and wellborn might pose an even greater danger to free government than the common people.” Adams’s solution was to award the American aristocrats their own branch of government—a kind of House of Lords without hereditary titles—that would serve to quarantine the privileged class and make it much harder for them to oppress the rest of society. However much they schemed for advantage, they would not be able to dominate the lower house—the voice of the people—or intimidate a very strong executive who would act as a referee balancing the rights of ordinary Americans against the self-serving ambitions of the country’s aristocrats.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John Adams</w:t>
      </w:r>
    </w:p>
    <w:p w:rsidR="00000000" w:rsidDel="00000000" w:rsidP="00000000" w:rsidRDefault="00000000" w:rsidRPr="00000000" w14:paraId="00000070">
      <w:pPr>
        <w:rPr/>
      </w:pPr>
      <w:r w:rsidDel="00000000" w:rsidR="00000000" w:rsidRPr="00000000">
        <w:rPr>
          <w:rtl w:val="0"/>
        </w:rPr>
        <w:t xml:space="preserve">Whatever the merits of Adams’s ideas, he failed utterly to persuade anyone that a privileged group did in fact represent a major problem for the new republic. It was just as well that he was out of the country on diplomatic service when the Constitutional Convention met in 1787. His absence saved the delegates from windy speeches about the threat of aristocracy in America. They gave him credit for his advocacy of balanced government and separation of powers but missed the thrust of his more pressing concern. For Adams, it was not enough simply to create a senate or upper house.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Instead of giving ground on the point, he doubled down, repeating his arguments, each time more aggressively. Sadly, the lively, often humorous qualities that one encounters in his private correspondence were nowhere to be found in his formal writings. In 1787 Adams published his Defence of the Constitutions of Government of the United States of America, an almost unreadable three-volume study of how aristocrats had undermined popular liberties throughout recorded history. The lesson was clear: “Orders of men, watching and balancing each other, are the only security; power must be opposed to power and interest to interest.”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At the time of its publication, friends praised Adams’s work, even though they privately confessed that they had read only a few pages. His political analysis made no sense to a people who had just fought a war to liberate the country from George III. His insistence on the need for a strong executive seemed an invitation to restore the monarchy. His fulsome praise for the British constitution—king, House of Lords, and House of Commons—harked back to a prerevolutionary world that no longer had popular appeal.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Other critics insisted that Adams was just wrong. There were no aristocrats in the United States. Did Adams not realize that the Revolution had eliminated noble titles? Did he not understand that all branches of the newly ratified constitutional government derived their power from the people? Even if one could identify an American aristocracy, what guarantee was there that it would not try to extend its influence beyond its own senate or upper house? The whole plan seemed bizarre. One can understand why Franklin concluded, “I am persuaded…that he [Adams] means well for his Country, is always an honest Man, often a wise one, but sometimes, and in some things, absolutely out of his senses.”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During the 1790s the spirit of unity that had energized the Revolution seemed in jeopardy. International crises poisoned American politics, threatening the stability of constitutional government. National leaders who had once been allies increasingly identified themselves as Federalists or Republicans—not political parties in the modern sense but rather loosely organized groups sharing political goals—and the public began to interpret contentious domestic differences over a national bank and executive power through the lens of the French Revolution. Former allies such as Adams and Jefferson suddenly found themselves at odds over how the new republic should respond to European rivalries that now threatened American commercial interests.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About the French Revolution, Jefferson had no qualms. It represented the spread of republican values to the Old World. His enthusiasm for the destruction of monarchy helps explain why he was reluctant to condemn the enormous bloodshed occurring on the streets of Paris. Adams did not share Jefferson’s upbeat assessment. He believed that the French had overthrown the ancien régime without properly considering what might replace it. “The world,” Adams wrote, “will be entertained with noble sentiments and enchanting Eloquence, but will not essential Ideas be sometimes forgotten, in the anxious study of brilliant Phrases?” Soon Adams, who served as George Washington’s vice-president for two terms and then as president in his own right, became the object of vicious personal attacks.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In this bitterly partisan atmosphere in which a newly aggressive press stirred up political division, Adams’s writings came back to haunt him. People identified him with monarchy and the policies of Great Britain. Jefferson, it seemed, had read the future correctly. When Jefferson was elected president in 1800, Adams felt betrayed. He thought he deserved a second term. Searching for an explanation, Adams insisted that Jefferson or scribblers of Republican persuasion had vilified him in ways that could not be forgiven. On the eve of Jefferson’s inauguration, a very angry Adams slipped back to Massachusetts. At that moment about the only thing the two men agreed on was their utter contempt for Alexander Hamilton, who they believed had allowed personal ambition to subvert national security. Their friendship was at an end.</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Had it not been for Benjamin Rush, a Philadelphia physician and signer of the Declaration of Independence, who had somehow managed to maintain good relations with both Jefferson and Adams, they might never have reconciled. As the members of the revolutionary generation passed away, Rush worried that two of the most prominent survivors would die without restoring a friendship that had been moribund since the election of 1800. In letters to Jefferson and Adams, Rush begged the men to forget and forgive. After all, they were national treasures, and their fellow citizens deserved to know more about the political events that had shaped the nation. Rush’s labors resulted in their first exchange on January 1, 1812. Adams sent Jefferson two volumes written by his son, John Quincy, which he described humorously as “two Pieces of Homespun lately produced in this quarter.” Since the books did not arrive with the letter, Jefferson assumed that Adams had been referring to cloth manufactured in New England, and in response he drafted a long note on production of textiles in Virginia.</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Perhaps the initial misunderstanding relaxed the two men trying to restore a badly strained relationship. In any case, over the remaining years of their lives, Jefferson and Adams wrote 158 letters to each other.* It was an extraordinary correspondence—everything for which Rush had hoped. Adams wrote three letters to every one that Jefferson sent. For Adams especially it seemed as if the chance to communicate had opened a floodgate. He welcomed the opportunity to explore an impressive range of topics with someone of his own erudition and intelligence. The two former presidents made references to ancient classics, obscure religious writings, studies of Native American cultures, and philosophical treatises. They discussed how one might write a history of the American Revolution. They even displayed an impressive knowledge of Greek and Latin. Adams was more forthright, throwing out ideas as fast as he could record them on paper. “So many Subjects crowd upon me,” he confessed, “that I know not, with which to begin.” Jefferson remained more reserved, avoiding controversy by ignoring contentious topics that Adams frequently raised.</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However much Adams may have welcomed the restoration of their friendship, he could not ignore the past. The two men had unfinished business to settle. As Adams declared, “You and I ought not to die, before We have explained ourselves to each other.” For Adams that goal meant in part rehearsing the many wrongs he had endured during the 1790s. Anxious lest his own accomplishments be overlooked, Adams asked Jefferson, “How many Gauntletts am I destined to run? How many Martyrdoms must I suffer?”</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Fortunately, Adams did not often indulge in such self-pity. He had another, much more important matter to settle, one that had been on his mind for a very long time. Why, he wondered, had Jefferson failed to understand how much an American aristocracy endangered the future of the republic? Not only had the privileged class continued to try to monopolize power, it had also successfully persuaded ordinary citizens that it was right for them to do so. When he considered “the weakness, the folly, the Pride, the Vanity, the Selfishness, the Artifice, the low craft and meaning [sic] cunning, the want of Principle, the Avarice[,] the unbounded Ambition, the unfeeling Cruelty of a majority of those (in all Nations) who are allowed an aristocratical influence,” Adams could not help but be depressed by the corruption of republican government. After all, the ordinary people did the bidding of the aristocrats. They “not only become their Dupes, but even love to be Taken in by their Tricks.”</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In 1813 Jefferson responded to Adams much as he had many decades earlier. He admitted that two kinds of aristocrats existed—natural and artificial. Titled nobility clearly had no place in the United States. As for the natural aristocrats—individuals of exceptional talents and accomplishments—awarding them a separate branch of government made no sense. “I think,” Jefferson wrote, “that to give them power in order to prevent them from doing mischief, is arming them for it, and increasing instead of remedying the evil.” Rather than trying to reconfigure the country’s balanced Constitution, Adams should put his faith in free elections. He should trust the people. “In general,” Jefferson concluded, “they will elect the real good and wise. In some instances, wealth may corrupt, and birth blind them; but not in sufficient degree to endanger the society.”</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Jefferson counseled Adams to appreciate more fully how splendidly the country they had founded was progressing. Ordinary people were receiving better education; they could obtain land if they wanted. The future was bright. Jefferson believed that it was sufficient for the preservation of liberty “if the moral and physical condition of our own citizens qualifies them to select the able and good for the direction of their government.”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Adams was not persuaded. It probably did not matter. The two men greatly enjoyed the conversation. In a remarkable coincidence, Adams and Jefferson both died on July 4, 1826, exactly fifty years after the signing of the Declaration of Independence. On one thing Adams was correct. Jefferson spoke to the American people in a language that resonated positively. It still does. But as Wood reminds us, Adams also has something to tell us. Although evidence of the power of great wealth to subvert democracy is now overwhelming—think of Citizens United—we can still appreciate Adams’s prescient warning. The challenge remains: How can the American people protect the republic from the political machinations of a privileged class?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Fonts w:ascii="Arial Unicode MS" w:cs="Arial Unicode MS" w:eastAsia="Arial Unicode MS" w:hAnsi="Arial Unicode MS"/>
          <w:rtl w:val="0"/>
        </w:rPr>
        <w:t xml:space="preserve">The full correspondence can be found in The Adams-Jefferson Letters: The Complete Correspondence Between Thomas Jefferson and Abigail and John Adams, edited by Lester J. Cappon (University of North Carolina Press, 1959). ↩</w:t>
      </w:r>
    </w:p>
    <w:p w:rsidR="00000000" w:rsidDel="00000000" w:rsidP="00000000" w:rsidRDefault="00000000" w:rsidRPr="00000000" w14:paraId="0000008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