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Readings for December 9 2018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For this Sunday, the Today’s Issues group will discuss two articles from the November 22 issue of the New York Review of Books: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8, Alexander Stille, “The Sins of Celibacy,” about issues in the Catholic Church</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Page 40 Jed Rakoff. “Hail to the Chief,” a review of a book about John Marshall and the Supreme Court</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 copy of the readings is attached.</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‘The Sins of Celibacy</w:t>
      </w:r>
    </w:p>
    <w:p w:rsidR="00000000" w:rsidDel="00000000" w:rsidP="00000000" w:rsidRDefault="00000000" w:rsidRPr="00000000" w14:paraId="0000000D">
      <w:pPr>
        <w:contextualSpacing w:val="0"/>
        <w:rPr/>
      </w:pPr>
      <w:r w:rsidDel="00000000" w:rsidR="00000000" w:rsidRPr="00000000">
        <w:rPr>
          <w:rtl w:val="0"/>
        </w:rPr>
        <w:t xml:space="preserve">Alexander Stille NOVEMBER 22, 2018 ISSUE</w:t>
      </w:r>
    </w:p>
    <w:p w:rsidR="00000000" w:rsidDel="00000000" w:rsidP="00000000" w:rsidRDefault="00000000" w:rsidRPr="00000000" w14:paraId="0000000E">
      <w:pPr>
        <w:contextualSpacing w:val="0"/>
        <w:rPr/>
      </w:pPr>
      <w:r w:rsidDel="00000000" w:rsidR="00000000" w:rsidRPr="00000000">
        <w:rPr>
          <w:rtl w:val="0"/>
        </w:rPr>
        <w:t xml:space="preserve">Pope Francis</w:t>
      </w:r>
    </w:p>
    <w:p w:rsidR="00000000" w:rsidDel="00000000" w:rsidP="00000000" w:rsidRDefault="00000000" w:rsidRPr="00000000" w14:paraId="0000000F">
      <w:pPr>
        <w:contextualSpacing w:val="0"/>
        <w:rPr/>
      </w:pPr>
      <w:r w:rsidDel="00000000" w:rsidR="00000000" w:rsidRPr="00000000">
        <w:rPr>
          <w:rtl w:val="0"/>
        </w:rPr>
        <w:t xml:space="preserve">Pope Francis; drawing by Siegfried Woldhek</w:t>
      </w:r>
    </w:p>
    <w:p w:rsidR="00000000" w:rsidDel="00000000" w:rsidP="00000000" w:rsidRDefault="00000000" w:rsidRPr="00000000" w14:paraId="00000010">
      <w:pPr>
        <w:contextualSpacing w:val="0"/>
        <w:rPr/>
      </w:pPr>
      <w:r w:rsidDel="00000000" w:rsidR="00000000" w:rsidRPr="00000000">
        <w:rPr>
          <w:rtl w:val="0"/>
        </w:rPr>
        <w:t xml:space="preserve">On August 25 Archbishop Carlo Maria Viganò published an eleven-page letter in which he accused Pope Francis of ignoring and covering up evidence of sexual abuse in the Catholic Church and called for his resignation. It was a declaration of civil war by the church’s conservative wing. Viganò is a former apostolic nuncio to the US, a prominent member of the Roman Curia—the central governing body of the Holy See—and one of the most skilled practitioners of brass-knuckle Vatican power politics. He was the central figure in the 2012 scandal that involved documents leaked by Pope Benedict XVI’s personal butler, including letters Viganò wrote about corruption in Vatican finances, and that contributed to Benedict’s startling decision to abdicate the following year. Angry at not having been made a cardinal and alarmed by Francis’s supposedly liberal tendencies, Viganò seems determined to take out the pope.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As a result of Viganò’s latest accusations and the release eleven days earlier of a Pennsylvania grand jury report that outlines in excruciating detail decades of sexual abuse of children by priests, as well as further revelations of sexual misconduct by Cardinal Theodore McCarrick, the former archbishop of Washington, D.C., Francis’s papacy is now in a deep, possibly fatal crisis. After two weeks of silence, Francis announced in mid-September that he would convene a large-scale gathering of the church’s bishops in February to discuss the protection of minors against sexual abuse by priests.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The case of Cardinal McCarrick, which figures heavily in Viganò’s letter, is emblematic of the church’s failure to act on the problem of sexual abuse—and of the tendentiousness of the letter itself. In the 1980s stories began to circulate that McCarrick had invited young seminarians to his beach house and asked them to share his bed. Despite explicit allegations that were relayed to Rome, in 2000 Pope John Paul II appointed him archbishop of Washington, D.C., and made him a cardinal. Viganò speculates that the pope was too ill to know about the allegations, but does not mention that the appointment came five years before John Paul’s death. He also praises Benedict XVI for finally taking action against McCarrick by sentencing him to a life of retirement and penance, and then accuses Francis of revoking the punishment and relying on McCarrick for advice on important church appointments. If Benedict did in fact punish McCarrick, it was a very well kept secret, because he continued to appear at major church events and celebrate mass; he was even photographed with Viganò at a church celebration.</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Viganò’s partial account of the way the church handled the allegations about McCarrick is meant to absolve Pope Francis’s predecessors, whose conservative ideology he shares. Viganò lays the principal blame for failing to punish McCarrick on Francis, who does appear to have mishandled the situation—one he largely inherited. He may have decided to ignore the allegations because, while deplorable, they dated back thirty years and involved seminarians, who were adults, not minors. Last June, however, a church commission found credible evidence that McCarrick had behaved inappropriately with a sixteen-year-old altar boy in the early 1970s, and removed him from public ministry; a month later Francis ordered him to observe “a life of prayer and penance in seclusion,” and he resigned from the College of Cardinals. On October 7, Cardinal Marc Ouellet, prefect of the Congregation for Bishops at the Vatican, issued a public letter offering a vigorous defense of Francis and a direct public rebuke of his accuser:</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Francis had nothing to do with McCarrick’s promotions to New York, Metuchen, Newark and Washington. He stripped him of his Cardinal’s dignity as soon as there was a credible accusation of abuse of a minor….</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Dear Viganò, in response to your unjust and unjustified attack, I can only conclude that the accusation is a political plot that lacks any real basis that could incriminate the Pope and that profoundly harms the communion of the Church.</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The greatest responsibility for the problem of sexual abuse in the church clearly lies with Pope John Paul II, who turned a blind eye to it for more than twenty years. From the mid-1980s to 2004, the church spent $2.6 billion settling lawsuits in the US, mostly paying victims to remain silent. Cases in Ireland, Australia, England, Canada, and Mexico followed the same depressing pattern: victims were ignored or bullied, even as offending priests were quietly transferred to new parishes, where they often abused again. “John Paul knew the score: he protected the guilty priests and he protected the bishops who covered for them, he protected the institution from scandal,” I was told in a telephone interview by Father Thomas Doyle, a canon lawyer who was tasked by the papal nuncio to the US with investigating abuse by priests while working at the Vatican embassy in Washington in the mid-1980s, when the first lawsuits began to be filed.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Benedict was somewhat more energetic in dealing with the problem, but his papacy began after a cascade of reporting had appeared on priestly abuse, beginning with an investigation published by the Boston Globe in 2002 (the basis for Spotlight, the Oscar-winning film of 2015). The church was faced with mass defections and the collapse of donations from angry parishioners, which forced Benedict to confront the issue directly.</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Francis’s election inspired great hopes for reform. But those who expected him to make a clean break with this history of equivocation and half-measures have been disappointed. He hesitated, for example, to meet with victims of sexual abuse during his visit to Chile in January 2018 and then insulted them by insisting that their claims that the local bishop had covered up the crimes of a notorious abuser were “calumny.” In early October, he expelled from the priesthood two retired Chilean bishops who had been accused of abuse. But when he accepted the resignation of Cardinal Donald Wuerl—who according to the Pennsylvania grand jury report repeatedly mishandled accusations of abuse when he was bishop of Pittsburgh—he praised Wuerl for his “nobility.” Francis seems to take one step forward and then one step backward.</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Viganò is correct in writing that one of Francis’s closest advisers, Cardinal Oscar Rodriguez Maradiaga, disregarded a grave case of abuse occurring right under his nose in Honduras. One of Maradiaga’s associates, Auxiliary Bishop Juan José Pineda Fasquelle of Tegucigalpa, was accused of abusing students at the seminary he helped to run. Last June, forty-eight of the 180 seminarians signed a letter denouncing the situation there. “We are living and experiencing a time of tension in our house because of gravely immoral situations, above all of an active homosexuality inside the seminary that has been a taboo all this time,” the seminarians wrote. Maradiaga initially denounced the writers as “gossipers,” but Pineda was forced to resign a month later.</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“I feel badly for Francis because he doesn’t know whom to trust,” Father Doyle said. Almost everyone in a senior position in the Catholic Church bears some guilt for covering up abuse, looking the other way, or resisting transparency. The John Jay Report (2004) on sexual abuse of minors by priests, commissioned by the US Conference of Catholic Bishops, indicated that the number of cases increased during the 1950s and 1960s, was highest in the 1970s, peaking in 1980, and has gradually diminished since then. Francis may have hoped that the problem would go away and feared that a true housecleaning would leave him with no allies in the Curia.</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Much of the press coverage of the scandal has been of the Watergate variety: what the pope knows, when he found out, and so forth. This ignores a much bigger issue that no one in the church wants to talk about: the sexuality of priests and the failure of priestly celibacy.</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Viganò blames the moral crisis of the papacy on the growing “homosexual current” within the church. There is indeed a substantial minority of gay priests. The Reverend Donald B. Cozzens, a Catholic priest and longtime rector of a seminary in Ohio, wrote in his book The Changing Face of the Priesthood (2000) that “the priesthood is, or is becoming, a gay profession.” There have been no large surveys, using scientific methods of random sampling, of the sexual life of Catholic priests. Many people—a priest in South Africa, a journalist in Spain, and others—have done partial studies that would not pass scientific muster. The late Dr. Richard Sipe, a former priest turned psychologist, interviewed 1,500 priests for an ethnographic study.</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There is some self-selection by priests who agree to answer questions or fill out questionnaires or seek treatment, which is why the estimates on, say, gay priests vary so widely. But the studies are consistent in showing high percentages of sexually active priests and of gay priests. As Thomas Doyle wrote in 2004, “Knowledgeable observers, including authorities within the Church, estimate that 40–50 percent of all Catholic priests have a homosexual orientation, and that half of these are sexually active.” Sipe came to the conclusion that “50 percent of American clergy were sexually active…and between 20 and 30 percent have a homosexual orientation and yet maintained their celibacy in an equal proportion with heterosexually oriented clergy.”</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In his letter Viganò repeats the finding in the John Jay Report that 81 percent of the sexual abuse cases involve men abusing boys. But he ignores its finding that those who actually identify as homosexual are unlikely to engage in abuse and are more likely to seek out adult partners. Priests who abuse boys are often confused about their sexuality; they frequently have a negative view of homosexuality, yet are troubled by their own homoerotic urges.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Viganò approvingly cites Sipe’s work four times. But he ignores Sipe’s larger argument, made on his website in 2005, that “the practice of celibacy is the basic problem for bishops and priests.” Sipe also wrote, “The Vatican focus on homosexual orientation is a smoke screen to cover the pervasive and greater danger of exposing the sexual behavior of clerics generally. Gay priests and bishops practice celibacy (or fail at it) in the same proportions as straight priests and bishops do.” He denounced McCarrick’s misconduct on numerous occasions.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While the number of priests abusing children—boys or girls under the age of sixteen—is comparatively small, many priests have secret sex lives (both homosexual and heterosexual), which does not leave them in the strongest position to discipline those who abuse younger victims. Archbishop Rembert Weakland, for example, the beloved liberal archbishop of Milwaukee from 1977 to 2002, belittled victims who complained of sexual abuse by priests and then quietly transferred predatory priests to other parishes, where they continued their abusive behavior. It was revealed in 2002 that the Milwaukee archdiocese had paid $450,000 in hush money to an adult man with whom Weakland had had a longtime secret sexual relationship, which might have made him more reluctant to act against priests who abused children. But this could be true of heterosexual as well as homosexual priests who are sexually active.</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Viganò believes that the church’s moral crisis derives uniquely from its abandonment of clear, unequivocal, strict teaching on moral matters, and from overly permissive attitudes toward homosexuality in particular. He does not want to consider the ways in which its traditional teaching on sexuality—emphasized incessantly by recent popes—has contributed to the present crisis. The modern church has boxed itself into a terrible predicament. Until about half a century ago, it was able to maintain an attitude of wise hypocrisy, accepting that priests were often sexually active but pretending that they weren’t. The randy priests and monks (and nuns) in Chaucer and Boccaccio were not simply literary tropes; they reflected a simple reality: priests often found it impossible to live the celibate life. Many priests had a female “housekeeper” who relieved their loneliness and doubled as life companions. Priests frequently had affairs with their female parishioners and fathered illegitimate children. The power and prestige of the church helped to keep this sort of thing a matter of local gossip rather than international scandal.</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When Pope John XXIII convened the Second Vatican Council in 1962, bishops from many parts of the world hoped that the church would finally change its doctrine and allow priests to marry. But John XXIII died before the council finished its work, which was then overseen by his successor, Paul VI (one of the popes most strongly rumored to have been gay). Paul apparently felt that the sweeping reforms of Vatican II risked going too far, so he rejected the pleas for priestly marriage and issued his famous encyclical Humanae Vitae, which banned contraception, overriding a commission he had convened that concluded that family planning and contraception were not inconsistent with Catholic doctrine.</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Opposing priestly marriage and contraception placed the church on the conservative side of the sexual revolution and made adherence to strict sexual norms a litmus test for being a good Catholic, at a time when customs were moving rapidly in the other direction. Only sex between a man and a woman meant for procreation and within the institution of holy matrimony was allowed. That a man and a woman might have sex merely for pleasure was seen as selfish and sinful. Some 125,000 priests, according to Richard Sipe, left the priesthood after Paul VI closed the door on the possibility of priestly marriage. Many, like Sipe, were straight men who left to marry. Priestly vocations plummeted.</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Conversely, the proportion of gay priests increased, since it was far easier to hide one’s sex life in an all-male community with a strong culture of secrecy and aversion to scandal. Many devout young Catholic men also entered the priesthood in order to try to escape their unconfessable urges, hoping that a vow of celibacy would help them suppress their homosexual leanings. But they often found themselves in seminaries full of sexual activity. Father Doyle estimates that approximately 10 percent of Catholic seminarians were abused (that is, drawn into nonconsensual sexual relationships) by priests, administrators, or other seminarians.</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This problem is nothing new. Homosocial environments—prisons, single-sex schools, armies and navies, convents and monasteries—have always been places of homosexual activity. “Man is a loving animal,” in Sipe’s words. The Benedictines, one of the first monastic orders, created elaborate rules to minimize homosexual activity, insisting that monks sharing a room sleep fully clothed and with the lights on.</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The modern Catholic Church has failed to grasp what its founders understood quite well. “It is better to marry than to burn with passion,” Saint Paul wrote when his followers asked him whether “it is good for a man not to touch a woman.” “To the unmarried and the widows I say that it is well for them to remain unmarried as I am. But if they are not practicing self-control, they should marry.” Priestly celibacy was not firmly established until the twelfth century, after which many priests had secret wives or lived in what the church termed “concubinage.”</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The obsession with enforcing unenforceable standards of sexual continence that run contrary to human nature (according to one study, 95 percent of priests report that they masturbate) has led to an extremely unhealthy atmosphere within the modern church that contributed greatly to the sexual abuse crisis. A 1971 Loyola Study, which was also commissioned by the US Conference of Catholic Bishops, concluded that a large majority of American priests were psychologically immature, underdeveloped, or maldeveloped. It also found that a solid majority of priests—including those ordained in the 1940s, well before the sexual revolution—described themselves as very or somewhat sexually active.</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Sipe, during his decades of work treating priests as a psychotherapist, also concluded that the lack of education about sexuality and the nature of celibate life tended to make priests immature, often more comfortable around teenagers than around other adults. All this, along with a homosocial environment and the church’s culture of secrecy, has made seminaries a breeding ground for sexual abuse.</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There are possible ways out of this dilemma for Francis. He could allow priests to marry, declare homosexuality to be not sinful, or even move to reform the patriarchal nature of the church—and to address the collapse in the number of nuns, which has decreased by 30 percent since the 1960s even though the number of the world’s Catholics has nearly doubled in that time—by allowing the ordination of women. But any of those actions would spark a revolt by conservatives in the church who already regard Francis with deep suspicion, if not downright aversion. John Paul II did his best to tie the hands of his successors by declaring the prohibition of female priests to be an “infallible” papal doctrine, and Francis has acknowledged that debate on the issue was “closed.” Even Francis’s rather gentle efforts to raise the possibility of allowing divorced Catholics who have remarried to receive the host at Mass was met with such strong criticism that he dropped the subject.</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rtl w:val="0"/>
        </w:rPr>
        <w:t xml:space="preserve">The sociology of religion offers some valuable insights into the church’s problems. One of the landmark texts in this field is the 1994 essay “Why Strict Churches Are Strong,” by the economist Laurence Iannaccone, who used rational choice theory to show that people tend to value religious denominations that make severe demands on them. The Mormon Church, for example, requires believers to give it a tenth of their income and a substantial amount of their time, abstain from the use of tobacco and alcohol, and practice other austerities. These costly demands create a powerful sense of solidarity. The commitment of time and money means that the church can undertake ambitious projects and take care of those in need, while the distinctive way of life serves to bind members to one another and set them apart from the rest of the world. The price of entry to a strict church is high, but the barrier to exit is even higher: ostracism and the loss of community.</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Since the French Revolution and the spread of liberal democracy in the nineteenth century, the Catholic Church has been torn between the urge to adapt to a changing world and the impulse to resist it at all cost. Pope Pius IX, at whose urging the First Vatican Council in 1870 adopted the doctrine of papal infallibility, published in 1864 his “Syllabus of Errors,” which roundly condemned modernity, freedom of the press, and the separation of church and state. Significantly, its final sentence denounced the mistaken belief that “the Roman Pontiff can, and ought to, reconcile himself, and come to terms with progress, liberalism and modern civilization.” Since then the church has been in the difficult position of maintaining this intransigent position—that it stands for a set of unchanging, eternal beliefs—while still in some ways adapting to the times.</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John XXIII, who became pope in 1958, saw a profound need for what he called aggiornamento—updating—precisely the kind of reconciling of the church to a changing world that Pius IX considered anathema. John XXIII was one of the high-ranking church leaders who regarded the Nazi genocide of the Jews as a moral crossroads in history. An important part of his reforms at Vatican II was to remove all references to the Jews as a “deicide” people and to adopt an ecumenical spirit that deems other faiths worthy of respect. After Vatican II, the church made optional much of the traditional window-dressing of Catholicism—the Latin Mass, the elaborate habits of nuns, the traditional prohibition against meat on Friday—but John died before the council took up more controversial issues of doctrine. With Vatican II, Iannaccone argued,</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the Catholic church may have managed to arrive at a remarkable, “worst of both worlds” position—discarding cherished distinctiveness in the areas of liturgy, theology, and lifestyle, while at the same time maintaining the very demands that its members and clergy are least willing to accept.</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Church conservatives are not wrong to worry that eliminating distinctive Catholic teachings may weaken the church’s appeal and authority. Moderate mainstream Protestant denominations have been steadily losing adherents for decades. At the same time, some forms of strictness can be too costly. The prohibitions against priestly marriage and the ordination of women are clearly factors in the decline of priestly vocations, and the even more dramatic decline in the number of nuns.</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Both radical change and the failure to change are fraught with danger, making Francis’s path an almost impossible one. He is under great pressure from victims who are demanding that the church conduct an exhaustive investigation into the responsibility of monsignors, bishops, and cardinals who knew of abusing priests but did nothing—something he is likely to resist. Such an accounting might force many of the church’s leaders into retirement and paralyze it for years to come—but his failure to act could paralyze it as well. As for the larger challenges facing the church, Francis’s best option might be to make changes within the narrow limits constraining him, such as expanding the participation of the laity in church deliberations and allowing women to become deacons. But that may be too little, too late.</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—October 25, 2018</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Hail to the Chief</w:t>
      </w:r>
    </w:p>
    <w:p w:rsidR="00000000" w:rsidDel="00000000" w:rsidP="00000000" w:rsidRDefault="00000000" w:rsidRPr="00000000" w14:paraId="00000055">
      <w:pPr>
        <w:contextualSpacing w:val="0"/>
        <w:rPr/>
      </w:pPr>
      <w:r w:rsidDel="00000000" w:rsidR="00000000" w:rsidRPr="00000000">
        <w:rPr>
          <w:rtl w:val="0"/>
        </w:rPr>
        <w:t xml:space="preserve">Jed S. Rakoff NOVEMBER 22, 2018 ISSUE</w:t>
      </w:r>
    </w:p>
    <w:p w:rsidR="00000000" w:rsidDel="00000000" w:rsidP="00000000" w:rsidRDefault="00000000" w:rsidRPr="00000000" w14:paraId="00000056">
      <w:pPr>
        <w:contextualSpacing w:val="0"/>
        <w:rPr/>
      </w:pPr>
      <w:r w:rsidDel="00000000" w:rsidR="00000000" w:rsidRPr="00000000">
        <w:rPr>
          <w:rtl w:val="0"/>
        </w:rPr>
        <w:t xml:space="preserve">Without Precedent: John Marshall and His Times</w:t>
      </w:r>
    </w:p>
    <w:p w:rsidR="00000000" w:rsidDel="00000000" w:rsidP="00000000" w:rsidRDefault="00000000" w:rsidRPr="00000000" w14:paraId="00000057">
      <w:pPr>
        <w:contextualSpacing w:val="0"/>
        <w:rPr/>
      </w:pPr>
      <w:r w:rsidDel="00000000" w:rsidR="00000000" w:rsidRPr="00000000">
        <w:rPr>
          <w:rtl w:val="0"/>
        </w:rPr>
        <w:t xml:space="preserve">by Joel Richard Paul</w:t>
      </w:r>
    </w:p>
    <w:p w:rsidR="00000000" w:rsidDel="00000000" w:rsidP="00000000" w:rsidRDefault="00000000" w:rsidRPr="00000000" w14:paraId="00000058">
      <w:pPr>
        <w:contextualSpacing w:val="0"/>
        <w:rPr/>
      </w:pPr>
      <w:r w:rsidDel="00000000" w:rsidR="00000000" w:rsidRPr="00000000">
        <w:rPr>
          <w:rtl w:val="0"/>
        </w:rPr>
        <w:t xml:space="preserve">Riverhead, 502 pp., $30.00</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Library of Virginia</w:t>
      </w:r>
    </w:p>
    <w:p w:rsidR="00000000" w:rsidDel="00000000" w:rsidP="00000000" w:rsidRDefault="00000000" w:rsidRPr="00000000" w14:paraId="0000005B">
      <w:pPr>
        <w:contextualSpacing w:val="0"/>
        <w:rPr/>
      </w:pPr>
      <w:r w:rsidDel="00000000" w:rsidR="00000000" w:rsidRPr="00000000">
        <w:rPr>
          <w:rtl w:val="0"/>
        </w:rPr>
        <w:t xml:space="preserve">Supreme Court Chief Justice John Marshall; painting by Henry Inman, 1832</w:t>
      </w:r>
    </w:p>
    <w:p w:rsidR="00000000" w:rsidDel="00000000" w:rsidP="00000000" w:rsidRDefault="00000000" w:rsidRPr="00000000" w14:paraId="0000005C">
      <w:pPr>
        <w:contextualSpacing w:val="0"/>
        <w:rPr/>
      </w:pPr>
      <w:r w:rsidDel="00000000" w:rsidR="00000000" w:rsidRPr="00000000">
        <w:rPr>
          <w:rtl w:val="0"/>
        </w:rPr>
        <w:t xml:space="preserve">George Washington was an inspiring leader, and Thomas Jefferson could turn a phrase; but to federal judges, the greatest of the Founding Fathers was undoubtedly John Marshall, chief justice of the US Supreme Court from 1801 to 1835, who forged the rule of federal law in American life. In his four-volume Life of John Marshall (1916), Albert J. Beveridge writes, “The work of John Marshall has been of supreme importance in the development of the American Nation, and its influence grows as time passes.” But Beveridge then cautions that “such exalted, if vague, encomium has been paid him, that, even to the legal profession, he has become a kind of mythical being, endowed with virtues and wisdom not of this earth.” Nonetheless, Beveridge’s biography is largely a panegyric to Marshall, and the titles of more recent biographies, such as Jean Edward Smith’s John Marshall: Definer of a Nation (1996) and Harlow Giles Unger’s John Marshall: The Chief Justice Who Saved the Nation (2014), indicate how much Marshall is still viewed with an awe that may inhibit critical thinking.</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Something of a correction, however, is provided by a fine new biography of Marshall by Joel Richard Paul of Hastings Law School. While Paul greatly admires Marshall, he conscientiously provides the evidence on which a more nuanced assessment of Marshall may be made. In particular, it may be suggested that Marshall, while hugely instrumental in assuring for the federal judiciary its limited supervisory role over the legislative branch, exhibited a subservience to the executive branch that continues to haunt us.</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Certainly there was a heroic aspect to Marshall’s rise to prominence. While it is commonplace to think of him as a member of the colonial Virginia aristocracy, in fact he was the proverbial “poor cousin.” Although his maternal grandmother had been born a Randolph (a fabled “First Family of Virginia”), she was disinherited after being caught in flagrante delicto with a Scottish minister, James Keith. Banished to the barely developed wilds of western Virginia, the two eventually married, but the taint of scandal continued to hang over their children, including Marshall’s mother, Mary Keith, who, bereft of money and connections, wound up marrying a farmer of modest means. In frontier fashion, they lived in a two-room log cabin in Germantown, Virginia, while raising fifteen children, of whom John Marshall, born in 1755, was the eldest.</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Unlike his second cousin Thomas Jefferson, who was born on a large plantation and received years of private tutoring before entering the College of William and Mary at age sixteen, Marshall was largely self-taught and had no more than one year of formal schooling. His first job of any consequence was as a soldier in the Revolutionary War, in which, during the winter at Valley Forge, he met George Washington, who thereafter served as one of his mentors. (Years later, Marshall wrote a five-volume biography of Washington that, as Paul puts it, “was the first of many presidential biographies to flop.”)</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Following the Revolutionary War, Marshall enrolled in the law curriculum at the College of William and Mary, but again unlike Jefferson (who graduated from the college with highest honors), he lasted only six weeks before dropping out. Nevertheless, he passed the bar examination and became licensed to practice law in Virginia.</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pPr>
      <w:r w:rsidDel="00000000" w:rsidR="00000000" w:rsidRPr="00000000">
        <w:rPr>
          <w:rtl w:val="0"/>
        </w:rPr>
        <w:t xml:space="preserve">On these limited foundations, Marshall built a command of the law and a skill in oral and written advocacy that quickly made him a leader of the Virginia bar. In the manner of the day, his law practice was extremely varied, involving everything from drawing up simple wills, deeds, and contracts to negotiating and, where necessary, litigating complex commercial matters, with the occasional criminal case thrown in for good measure. But in a bar that also featured Jefferson, Edmund Randolph, Patrick Henry, and James Monroe, Marshall quickly established a reputation as one of the best. Whether this bespeaks genius or simply perseverance, there can be no doubt that he was an early example of that idealized American prototype, the “self-made man.” It also did not hurt that, by all accounts, he was convivial, honest, dependable, good-looking, self-effacing, well connected, and capable of inspiring confidence.</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Like many lawyers, Marshall had a penchant for politics, and in the turmoil that eventually led to the drafting of the Constitution in 1787 and the subsequent battle over its ratification, he sided with the Federalists in favoring a stronger central government, while many prominent Virginians—cognizant of Virginia’s status as the largest and wealthiest of the former thirteen colonies—backed the anti-Federalists in wanting the states to retain near-total sovereignty. When the Federalists prevailed and the Constitution was ratified, Marshall became, in effect, the Virginian to whom the Federalists (whose primary base was in New England) would turn when they needed a local man to articulate their cause.</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Eventually, however, Marshall rose to national prominence, largely as a result of the so-called XYZ Affair. In 1797, newly elected president John Adams sent Marshall and two other envoys, Charles Pinckney and Elbridge Gerry, to Paris to try to negotiate an end to French depredations of US shipping that were a side effect of the ongoing war between Britain and France. But when the Americans reached Paris, they were approached in turn by three emissaries—X, Y, and Z—of the French foreign minister, Charles Maurice de Talleyrand-Périgord, who demanded a personal bribe as the price of an audience.</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When it subsequently became known that the Americans had stoutly refused to pay any bribe, even at the cost of their mission, they became national heroes. After Marshall returned from France in June 1798, parades were held in his honor and, as Paul describes it, “church bells rang for hours, cannons roared, and crowds lined the streets.” Less than a year later, Marshall, an avowed Federalist, was elected to Congress from a Virginia district that was otherwise staunchly Republican (the Republicans, or Jeffersonians, being the successors to the anti-Federalists). And just a year after that, in May 1800, Adams appointed Marshall secretary of state.</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rtl w:val="0"/>
        </w:rPr>
        <w:t xml:space="preserve">Not long after Marshall took office, however, the Republicans swamped the Federalists in the national elections of November 1800, winning majorities in both houses of Congress. In the subsequent voting in the Electoral College, Jefferson, after initially being tied with Aaron Burr, was elected president. (A few years later, Marshall, as chief justice, would preside over the trial of Burr for treason, which ended when Marshall, to the dismay of Jefferson, directed the jury to acquit Burr.)</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In response to these Republican victories, the lame-duck Federalists decided to pack the federal courts with as many of their own as they could induce to take on judicial appointments. First in line was Marshall, who on January 27, 1801, was confirmed by the departing Federalist Senate as the fourth chief justice of the United States.</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Marshall, like many other notable lawyers, had previously refused nomination to the Supreme Court. Indeed, it was no great thing to be a Supreme Court justice in those days, for the Court’s docket was largely limited to maritime cases; the real action was in the state courts. The justices also had to live together in boardinghouses and “ride circuit” over muddy roads and difficult terrain to hear cases in various locations far from Washington.</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Paul speculates that Marshall accepted the appointment as chief justice “out of a sense of duty.” Specifically, Marshall viewed Jefferson as a hypocrite and a demagogue:</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For Marshall’s whole life, from the poverty of his boyhood to his service in the Continental Army to his political fights in Virginia, he had been locked in a bitter rivalry with the cousin who was born with all the advantages that Marshall’s family had been denied…. [In Marshall’s view] Jefferson was a radical ideologue, and Marshall had witnessed how French ideologues had undermined the rule of law. Jefferson lacked genuine empathy and embodied precisely the kind of elitism that he attacked in theory.</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In these circumstances, according to Paul, Marshall, in accepting appointment as chief justice, “saw himself as defending the Constitution against the onslaught of the Jeffersonians.”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Perhaps. But as Paul also mentions, Marshall’s political career was likely finished, as his district in Virginia had returned to being solidly Republican. Moreover, the Supreme Court position would provide financial security, since Marshall’s law practice, largely placed in abeyance during his sojourn in Washington, was unlikely to earn him as much as the chief justice’s salary of $4,000. Perhaps too he was not as embarrassed as he professed to be about becoming a national celebrity, and was not immune to what is now known as “Potomac fever.”</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In any event, Marshall had plenty of company among Federalists who accepted these lame-duck appointments. The outgoing Federalist Congress created sixteen federal circuit judgeships and forty-two new positions for federal justices of the peace (low-level judicial functionaries). All these positions were filled by Federalists nominated and confirmed in Adams’s last days in office, giving rise to the satiric title of “midnight judges.” In Jefferson’s view, “The Federalists have retired into the judiciary as a stronghold, and from that battery all the works of republicanism are to be beaten down and erased.”</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Both Jefferson and Marshall thus viewed Marshall’s ascent to the Supreme Court as part of a battle for the soul of America, however much it might also appear as part of a family feud. But whatever his motivations, Marshall’s timing in accepting the position was impeccable, for during his tenure the size and scope of the Court’s work expanded greatly, with a concomitant rise in its power and importance. For example, as the nation’s economy began to grow and become more interconnected, great questions arose about whether control over interstate commerce was to be relegated to the states, to the federal government, or to some combination of the two—questions the Marshall Court definitively answered in favor of federal control in cases such as Gibbons v. Ogden (1824).</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Similarly, as the federal treasury, under Alexander Hamilton’s leadership, played an ever-larger part in banking, questions arose as to whether the federal power to tax and to issue currency indirectly conferred a power to create a federal bank, a question the Court again definitively answered in favor of a broad application of federal power in McCulloch v. Maryland (1819). In these and many other ways, the Marshall Court greatly enhanced the power of the federal government over the states, but in the process also enhanced the power of the executive.</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Over the thirty-four years that Marshall was chief justice, the Supreme Court issued no fewer than 1,129 decisions. Remarkably, all but 87 of them (and all but 36 of the 547 opinions authored by Marshall) were unanimous, even though the Court was deeply divided throughout most of these years between Federalists and Republicans (who later evolved into Whigs and Democrats, respectively).</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Paul attributes this unanimity not only to Marshall’s force of personality and character but also to his zeal for achieving consensus. And as a practical matter, the seven justices having to bunk together in the same boardinghouse must have put a premium on getting along with one another. But perhaps achieving unanimity was made easier by the fact that in so many of these early cases, they were writing on a relatively blank slate, largely unhampered by binding precedents (though they would look to English law for guidance)—hence the title of Paul’s book, Without Precedent. Conscious that they were literally creating the precedents that would bind future generations, the justices as a group may have been predisposed toward compromise and consensus.</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This tendency was further enhanced by an important change Marshall introduced early in his tenure. Prior to his arrival, each justice rendered a separate oral opinion in each case, this being the style in English courts. But Marshall decided that the Court’s authority would be increased if it acted as a whole and issued a single opinion (or, if divided, a single majority opinion), delivered orally but then put in writing.</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Too much compromise can, however, create its own problems. As a general matter, the Anglo-American legal system values consistency and predictability, while judicial decisions that lean toward compromise are often ambiguous and uncertain in their future application. The compromises forged by Marshall on the Supreme Court, although worded in the language of strong judicial oversight, sometimes entailed a barely concealed deference to unlawful executive action. Consider two of the most famous cases from Marshall’s tenure: Marbury v. Madison (1803) and Cherokee Nation v. Georgia (1831).</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Marbury v. Madison is typically cited as the first case in which the Supreme Court, after flatly asserting its power to be the final arbiter of the meaning of the Constitution, implemented that power of judicial review by declaring an act of Congress unconstitutional. (The Court would not do so again for another fifty-four years, with the Dred Scott decision.) But perhaps Marbury v. Madison deserves a closer look, specifically for how it deferred to the power of the president.</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The facts of the case were peculiar, and today would almost certainly have led Marshall to recuse himself. The appointments of the sixteen circuit judges (including Marshall’s brother James) and forty-two justices of the peace confirmed by the Federalists in the very last days of the Adams administration would not take effect until their formal commissions were signed by the president and the secretary of state (who also had to affix the Great Seal of the United States) and then delivered to the appointees. On Adams’s last day in office, March 3, 1801, the outgoing secretary of state—Marshall—duly cosigned all the commissions (they had already been signed by the president) and delivered them to the sixteen circuit judges (including James Marshall), but somehow neglected to arrange for the delivery of the commissions of the forty-two justices of the peace, which were found the next day on his vacated desk at the State Department. In due course the new president, Jefferson, still furious at the Federalist takeover of the judiciary, directed Levi Lincoln Sr., an interim secretary of state, not to deliver seventeen of these commissions, including that of William Marbury, who, joined by several of the other putative justices of the peace, then brought suit.</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Marbury and his coplaintiffs filed with the Supreme Court an emergency application familiar to lawyers today: an “order to show cause” demanding that James Madison (who had now taken up his post as secretary of state) give reasons why he should not be “mandamused,” that is, forced to deliver the commissions. In response, Madison, declining to acknowledge the Court’s jurisdiction, chose not to appear, though he did send a lawyer. President Jefferson let it be known in advance that if the Court ordered him or Madison to deliver the commissions, the response would be a refusal.</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The Court nonetheless held a four-day evidentiary hearing, during which it had to be proved that the plaintiffs had been confirmed as justices of the peace and that their commissions had been properly signed and sealed. But the actual signatory, John Marshall, could not be called as a witness, since he was presiding over the case as chief justice. Therefore, plaintiffs’ counsel introduced an affidavit from James Marshall, averring that the commissions had been signed and sealed. Although Paul argues persuasively that the affidavit was “most likely a complete fabrication” and that James Marshall probably had no personal knowledge of whether his brother had signed the commissions for the justices of the peace, John Marshall, sitting as the presiding judge, accepted his brother’s affidavit in evidence.</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A few days after the hearing, the Supreme Court issued its decision. On the one hand, the Court held that the plaintiffs had a right to their commissions and that Madison’s refusal to deliver them or recognize the plaintiffs as justices of the peace was flatly unlawful: “To withhold the commission, therefore, is an act deemed by the Court not warranted by law, but violative of a vested legal right.” Furthermore, the Court stated, “the Government of the United States has been emphatically termed a government of laws, and not of men. It will certainly cease to deserve this high appellation, if the laws furnish no remedy for the violation of a vested legal right.”</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According to the Court, the appropriate way to remedy the violation was to order the executive to deliver the commissions, i.e., grant mandamus. And the Judiciary Act of 1789 (the very first judiciary act passed by Congress) expressly gave the Supreme Court that power. But under the Constitution, the jurisdiction of the Supreme Court was limited, with exceptions not here relevant, to appellate jurisdiction; and while it could therefore issue mandamus to enforce its appellate decisions, to the extent that the Judiciary Act purported to give the Court the power to grant mandamus in a nonappellate proceeding, the act was unconstitutional. Too bad for Marbury.</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As Paul points out, if the Court lacked the power to issue mandamus in this matter, why did it not simply dismiss the petition at the outset? Why undertake a four-day hearing (with all its doubtful shenanigans) and why, in any event, declare the failure to grant the commissions unlawful, when the Court should not be even hearing the case? Paul asserts that Marshall glossed over all this because he wanted a vehicle for asserting the power of the Court. In Marshall’s memorable words, it “is emphatically the province and duty of the judicial department to say what the law is,” even if it means declaring an act of Congress unconstitutional. But this bold assertion should not wholly blind us to the fact that Marshall is here trying to have it both ways. He first declares that the executive has acted unlawfully and that the Supreme Court has the final word. But he winds up mentioning that the Court has no power in this case to do anything about the clear violation of law it has determined the executive to have committed.</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Paul nonetheless concludes, as have virtually all prior biographers:</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Marbury v. Madison demonstrated Marshall’s political genius. He struck a pragmatic compromise that avoided a direct conflict with the president while he asserted the Court’s authority to hold both Congress and the executive accountable to the Constitution.</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 xml:space="preserve">I think this is only partly true. By holding an act of Congress unconstitutional, the Court definitely asserted its power to serve as a check on legislative excess, even if, somewhat ironically, the excess consisted in giving too much power to the judiciary.</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Charles and Valerie Diker Collection of Native American Art</w:t>
      </w:r>
    </w:p>
    <w:p w:rsidR="00000000" w:rsidDel="00000000" w:rsidP="00000000" w:rsidRDefault="00000000" w:rsidRPr="00000000" w14:paraId="000000A0">
      <w:pPr>
        <w:contextualSpacing w:val="0"/>
        <w:rPr/>
      </w:pPr>
      <w:r w:rsidDel="00000000" w:rsidR="00000000" w:rsidRPr="00000000">
        <w:rPr>
          <w:rtl w:val="0"/>
        </w:rPr>
        <w:t xml:space="preserve">‘Kiowa Chiefs on a Visit to the Agent’; drawing attributed to Julian Scott Ledger Artist B (Kiowa), Oklahoma, circa 1880. It is on view in ‘Art of Native America,’ at the Metropolitan Museum of Art, New York City, until October 6, 2019.</w:t>
      </w:r>
    </w:p>
    <w:p w:rsidR="00000000" w:rsidDel="00000000" w:rsidP="00000000" w:rsidRDefault="00000000" w:rsidRPr="00000000" w14:paraId="000000A1">
      <w:pPr>
        <w:contextualSpacing w:val="0"/>
        <w:rPr/>
      </w:pPr>
      <w:r w:rsidDel="00000000" w:rsidR="00000000" w:rsidRPr="00000000">
        <w:rPr>
          <w:rtl w:val="0"/>
        </w:rPr>
        <w:t xml:space="preserve">But how can it be said that the Court held the executive accountable to the Constitution when the opinion, having flatly determined that Madison had acted unlawfully when he refused to deliver the commissions, declined to enforce the law or vindicate the plaintiffs’ acknowledged rights? Marshall had already stated in the very same opinion that if the law is to mean anything, there must be a remedy for a violation of rights; and yet the opinion nowhere indicates what remedy Marbury might avail himself of. Looked at in this way, Marbury can be viewed as judicial posturing that barely conceals a submission to executive power.</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In fairness, it must be noted that Marshall was writing at a time when the power of the Court to actually enforce its decisions was in doubt, and this remained true throughout his tenure. In the face of issues like slavery that were increasingly tearing the nation apart, it took courage for him to continually reassert the responsibility of the Court as the final arbiter of the law of the land. He did so, moreover, in a long series of monumental decisions, written in his inspiring and majestic prose, that in the end left no doubt that that was the Court’s view.</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Among much else, the Marshall Court also ratified the supremacy of the federal government over state governments in those situations where their powers overlapped, defended the property rights of individuals against intrusions by both state and federal authorities (this approach very much reflecting Marshall’s Federalist views), made international law part of the law of the United States, and took an evolutionary view of the Constitution that would not be seriously questioned until the ascendancy of Justice Antonin Scalia. But few of these marvelous decisions dealt with challenges to the exercise of power by the federal executive branch.</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One area where the exercise of executive power frequently did seem to run afoul of the law was in dealings with Native American tribes. Late in Marshall’s tenure, this conflict came to a head in the case of Cherokee Nation v. Georgia. The Cherokee occupied a good deal of land in the western part of Georgia, but when gold was discovered there in 1828, Georgia seized control of their gold mines and reasserted jurisdiction over their territory. President Andrew Jackson, the former Indian fighter, announced a federal plan to forcibly remove the Cherokee to lands further west and pushed through Congress the Indian Removal Act of 1830, which authorized him to implement his plan.</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The Cherokee Nation fought back and filed a demand for injunctive relief in the Supreme Court, noting that a provision of Article III of the Constitution provides original (nonappellate) federal jurisdiction over disputes between a US state and “foreign States, Citizens, or Subjects,” which, the Cherokee argued, included them. Like Madison in the Marbury case, Georgia chose not even to appear, arguing that the Court lacked jurisdiction; and Jackson, like Jefferson before him, let it be known that he would not enforce the Court’s decision if it favored the Indians. Marshall’s opinion for the Court begins in stirring fashion:</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This bill is brought by the Cherokee Nation, praying an injunction to restrain the state of Georgia from the execution of certain laws of that state, which, as is alleged, go directly to annihilate the Cherokees as a political society, and to seize, for the use of Georgia, the lands of the nation which have been assured to them by the United States in solemn treaties repeatedly made and still in force. If courts were permitted to indulge their sympathies, a case better calculated to excite them can scarcely be imagined.</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But once again, as in Marbury, there is a catch. Even though the treaties to which Marshall makes reference clearly treat the Cherokee as an independent nation, the Cherokee are still not “a foreign state in the sense in which that term is used in the Constitution.” Rather, they and other Indian tribes are “domestic dependent nations.” In words that even admirers of Marshall should cringe to repeat, he explains that the tribes exist in a</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state of pupilage. Their relation to the United States resembles that of a ward to his guardian. They look to our government for protection; rely upon its kindness and power; appeal to it for relief to their wants; and address the President as their great father.</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So forget about relief from a federal court.</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Paul is quite certain that this result was influenced by Marshall’s recognition that President Jackson would not enforce any decision favorable to the Cherokee: “Just as he had done in Marbury, Marshall ducked a direct confrontation with the president.” But another way to look at it is that once again, Marshall, for all his talk of judicial power, sacrificed the rights of innocent victims to Jackson’s raw exercise of executive power, hypocritically suggesting that the Indians, as wards of the federal government, should look to it, and not the federal courts, for relief from intrusions by the states, when he had all but acknowledged that this relief was a vain hope. In light of this decision, it is hardly surprising that a few years later the federal government exercised its “kindness and power” by forcing the Cherokee to march west over the Trail of Tears, thousands of them dying along the way.</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I do not wish to be misunderstood. In hindsight, even the greatest heroes have some clay in their feet, and it is hard to think of another Supreme Court justice—not Oliver Wendell Holmes, not Louis Brandeis, not William Brennan—who so completely laid the foundations for a federal system of justice worthy of respect as Marshall did. As Paul’s fine volume repeatedly notes, Marshall not only empowered the federal judiciary but guided it to safety during some of the most perilous years in our nation’s history. Nor do I mean to suggest that every time a federal court dares to rein in the president, it seeks to serve the public interest, as opposed to the ideology of its momentary majority. But I do suggest that, for whatever reason, the Supreme Court has frequently been far more deferential to the president than to Congress—and that this imbalance took root in the early days of the Court. </w:t>
        <w:br w:type="textWrapping"/>
      </w:r>
    </w:p>
    <w:p w:rsidR="00000000" w:rsidDel="00000000" w:rsidP="00000000" w:rsidRDefault="00000000" w:rsidRPr="00000000" w14:paraId="000000B6">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