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Readings for October 14, 2018</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For this Sunday, October 14, the Today’s Issues group will discuss two essays from the September 17 issue of the New York Review of Books:</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 xml:space="preserve">Page 65 - Joyce Carol Oates, “The Ghostwriter’s Mask,” a review of First Person by Richard Flannagan</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t xml:space="preserve">Page 67  Reiner de Graaf. “Cabromo Blues,” a review of two books about public housing and race relations in Chicago</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t xml:space="preserve">The group meets in the parlor of the Religious Education building next to the church at 9:30 on Sunday mornings.  Please do the readings and join our lively discussion.</w: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t xml:space="preserve">The Ghostwriter’s Mask</w:t>
      </w:r>
    </w:p>
    <w:p w:rsidR="00000000" w:rsidDel="00000000" w:rsidP="00000000" w:rsidRDefault="00000000" w:rsidRPr="00000000" w14:paraId="0000000B">
      <w:pPr>
        <w:contextualSpacing w:val="0"/>
        <w:rPr/>
      </w:pPr>
      <w:r w:rsidDel="00000000" w:rsidR="00000000" w:rsidRPr="00000000">
        <w:rPr>
          <w:rtl w:val="0"/>
        </w:rPr>
        <w:t xml:space="preserve">Joyce Carol Oates SEPTEMBER 27, 2018 ISSUE</w:t>
      </w:r>
    </w:p>
    <w:p w:rsidR="00000000" w:rsidDel="00000000" w:rsidP="00000000" w:rsidRDefault="00000000" w:rsidRPr="00000000" w14:paraId="0000000C">
      <w:pPr>
        <w:contextualSpacing w:val="0"/>
        <w:rPr/>
      </w:pPr>
      <w:r w:rsidDel="00000000" w:rsidR="00000000" w:rsidRPr="00000000">
        <w:rPr>
          <w:rtl w:val="0"/>
        </w:rPr>
        <w:t xml:space="preserve">First Person</w:t>
      </w:r>
    </w:p>
    <w:p w:rsidR="00000000" w:rsidDel="00000000" w:rsidP="00000000" w:rsidRDefault="00000000" w:rsidRPr="00000000" w14:paraId="0000000D">
      <w:pPr>
        <w:contextualSpacing w:val="0"/>
        <w:rPr/>
      </w:pPr>
      <w:r w:rsidDel="00000000" w:rsidR="00000000" w:rsidRPr="00000000">
        <w:rPr>
          <w:rtl w:val="0"/>
        </w:rPr>
        <w:t xml:space="preserve">by Richard Flanagan</w:t>
      </w:r>
    </w:p>
    <w:p w:rsidR="00000000" w:rsidDel="00000000" w:rsidP="00000000" w:rsidRDefault="00000000" w:rsidRPr="00000000" w14:paraId="0000000E">
      <w:pPr>
        <w:contextualSpacing w:val="0"/>
        <w:rPr/>
      </w:pPr>
      <w:r w:rsidDel="00000000" w:rsidR="00000000" w:rsidRPr="00000000">
        <w:rPr>
          <w:rtl w:val="0"/>
        </w:rPr>
        <w:t xml:space="preserve">Knopf, 351 pp., $26.95</w:t>
      </w:r>
    </w:p>
    <w:p w:rsidR="00000000" w:rsidDel="00000000" w:rsidP="00000000" w:rsidRDefault="00000000" w:rsidRPr="00000000" w14:paraId="0000000F">
      <w:pPr>
        <w:contextualSpacing w:val="0"/>
        <w:rPr/>
      </w:pPr>
      <w:r w:rsidDel="00000000" w:rsidR="00000000" w:rsidRPr="00000000">
        <w:rPr>
          <w:rtl w:val="0"/>
        </w:rPr>
        <w:t xml:space="preserve">“I have been missing since I was born.”</w:t>
      </w:r>
    </w:p>
    <w:p w:rsidR="00000000" w:rsidDel="00000000" w:rsidP="00000000" w:rsidRDefault="00000000" w:rsidRPr="00000000" w14:paraId="00000010">
      <w:pPr>
        <w:contextualSpacing w:val="0"/>
        <w:rPr/>
      </w:pPr>
      <w:r w:rsidDel="00000000" w:rsidR="00000000" w:rsidRPr="00000000">
        <w:rPr>
          <w:rtl w:val="0"/>
        </w:rPr>
        <w:t xml:space="preserve">—First Person</w:t>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rtl w:val="0"/>
        </w:rPr>
        <w:t xml:space="preserve">Richard Flanagan</w:t>
      </w:r>
    </w:p>
    <w:p w:rsidR="00000000" w:rsidDel="00000000" w:rsidP="00000000" w:rsidRDefault="00000000" w:rsidRPr="00000000" w14:paraId="00000013">
      <w:pPr>
        <w:contextualSpacing w:val="0"/>
        <w:rPr/>
      </w:pPr>
      <w:r w:rsidDel="00000000" w:rsidR="00000000" w:rsidRPr="00000000">
        <w:rPr>
          <w:rtl w:val="0"/>
        </w:rPr>
        <w:t xml:space="preserve">Richard Flanagan; drawing by Siegfried Woldhek</w:t>
      </w:r>
    </w:p>
    <w:p w:rsidR="00000000" w:rsidDel="00000000" w:rsidP="00000000" w:rsidRDefault="00000000" w:rsidRPr="00000000" w14:paraId="00000014">
      <w:pPr>
        <w:contextualSpacing w:val="0"/>
        <w:rPr/>
      </w:pPr>
      <w:r w:rsidDel="00000000" w:rsidR="00000000" w:rsidRPr="00000000">
        <w:rPr>
          <w:rtl w:val="0"/>
        </w:rPr>
        <w:t xml:space="preserve">As Isaiah Berlin noted the distinction between thinkers who know many things, like Archilochus’s fox, and thinkers who know one big thing, like Archilochus’s hedgehog, so it’s helpful to distinguish between writers who explore myriad strategies of fiction, more resembling chameleons than foxes, and writers who rarely venture beyond their early successes, refining and refurbishing familiar, well-traversed burrows. Consider one of the great experimental writers in English: Who could have predicted on the basis of James Joyce’s Dubliners that this quietly devastating realist in the tradition of Chekhov and Turgenev would next write A Portrait of the Artist as a Young Man, an idiosyncratic reinvention of the bildungsroman; then Ulysses, a yet more radical reinvention of the novel as a mock odyssey thrumming with sights, sounds, smells, and emanations of Dublin on June 16, 1904; then, yet more ambitiously, the boundlessly imaginative, obsessively solipsistic Finnegans Wake? Each successive work of Joyce’s is a profound leap away from nineteenth-century realism, with its emphasis upon the meticulously observed exterior world; though traces of Dubliners may be detected in Finnegans Wake, Joyce’s final work of fiction differs so utterly from his first as to suggest a totally different aesthetic, if not a different consciousness.</w:t>
      </w:r>
    </w:p>
    <w:p w:rsidR="00000000" w:rsidDel="00000000" w:rsidP="00000000" w:rsidRDefault="00000000" w:rsidRPr="00000000" w14:paraId="00000015">
      <w:pPr>
        <w:contextualSpacing w:val="0"/>
        <w:rPr/>
      </w:pPr>
      <w:r w:rsidDel="00000000" w:rsidR="00000000" w:rsidRPr="00000000">
        <w:rPr>
          <w:rtl w:val="0"/>
        </w:rPr>
      </w:r>
    </w:p>
    <w:p w:rsidR="00000000" w:rsidDel="00000000" w:rsidP="00000000" w:rsidRDefault="00000000" w:rsidRPr="00000000" w14:paraId="00000016">
      <w:pPr>
        <w:contextualSpacing w:val="0"/>
        <w:rPr/>
      </w:pPr>
      <w:r w:rsidDel="00000000" w:rsidR="00000000" w:rsidRPr="00000000">
        <w:rPr>
          <w:rtl w:val="0"/>
        </w:rPr>
        <w:t xml:space="preserve">By contrast, most writers cultivate a signature prose style and an aesthetic perspective that last them a lifetime. Like favorite hiking boots, these strategies are not willfully surrendered once they are acquired and have proven durable: each Jane Austen novel resembles its predecessor just enough to make Austen a reliable brand, arousing intense loyalties (and intense animosities). Writers as disparate in other respects as George Eliot, Thomas Hardy, Ernest Hemingway, Flannery O’Connor, Eudora Welty, Saul Bellow, Philip Roth, Donald Barthelme, John Updike—and many more—develop through their careers in ways that depend less on formal reinvention from work to work than on a deepening of individual vision once a distinctive style has been established.</w:t>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rtl w:val="0"/>
        </w:rPr>
        <w:t xml:space="preserve">Born in Tasmania in 1961, the descendent of Irish convicts transported in the mid-nineteenth century to the island penal colony Van Diemen’s Land (later known as Tasmania, a state of Australia), Richard Flanagan is among the most versatile writers in the English language. That he is also an environmental activist and the author of numerous influential works of nonfiction makes his achievement all the more remarkable. Each of Flanagan’s seven novels is distinct from the others, as if they are by different writers; each is a tour de force of its own kind, and several have been called “masterpieces” by reviewers—as if a gifted writer might be expected to have a “masterpiece” with each publication rather than once in a career.</w:t>
      </w:r>
    </w:p>
    <w:p w:rsidR="00000000" w:rsidDel="00000000" w:rsidP="00000000" w:rsidRDefault="00000000" w:rsidRPr="00000000" w14:paraId="00000019">
      <w:pPr>
        <w:contextualSpacing w:val="0"/>
        <w:rPr/>
      </w:pPr>
      <w:r w:rsidDel="00000000" w:rsidR="00000000" w:rsidRPr="00000000">
        <w:rPr>
          <w:rtl w:val="0"/>
        </w:rPr>
      </w:r>
    </w:p>
    <w:p w:rsidR="00000000" w:rsidDel="00000000" w:rsidP="00000000" w:rsidRDefault="00000000" w:rsidRPr="00000000" w14:paraId="0000001A">
      <w:pPr>
        <w:contextualSpacing w:val="0"/>
        <w:rPr/>
      </w:pPr>
      <w:r w:rsidDel="00000000" w:rsidR="00000000" w:rsidRPr="00000000">
        <w:rPr>
          <w:rtl w:val="0"/>
        </w:rPr>
        <w:t xml:space="preserve">Flanagan’s first novel, Death of a River Guide (1994), plunges the reader into a dazzling kaleidoscope of language—impressionistic, visionary, “archetypal,” personal—as a river guide drowns after his raft has overturned on the turbulent Franklin River in Tasmania. Through the prism of this expanding, contracting consciousness Flanagan yokes the private history of one man to that of his forebears and to a mythic history of Tasmania, its origins as a penal colony, and its settling by myriad nationalities. Flanagan’s second novel, The Sound of One Hand Clapping (1997), is an ambitious chronicle of Slovenian immigrants in Tasmania. Memories of war, migration, and the settling of a new land are related in a narrative voice as detached at times as a fairy tale (“all of it took place long, long ago in a world that has since perished into peat, in a forgotten winter on an island of which few have ever heard”).</w:t>
      </w:r>
    </w:p>
    <w:p w:rsidR="00000000" w:rsidDel="00000000" w:rsidP="00000000" w:rsidRDefault="00000000" w:rsidRPr="00000000" w14:paraId="0000001B">
      <w:pPr>
        <w:contextualSpacing w:val="0"/>
        <w:rPr/>
      </w:pPr>
      <w:r w:rsidDel="00000000" w:rsidR="00000000" w:rsidRPr="00000000">
        <w:rPr>
          <w:rtl w:val="0"/>
        </w:rPr>
      </w:r>
    </w:p>
    <w:p w:rsidR="00000000" w:rsidDel="00000000" w:rsidP="00000000" w:rsidRDefault="00000000" w:rsidRPr="00000000" w14:paraId="0000001C">
      <w:pPr>
        <w:contextualSpacing w:val="0"/>
        <w:rPr/>
      </w:pPr>
      <w:r w:rsidDel="00000000" w:rsidR="00000000" w:rsidRPr="00000000">
        <w:rPr>
          <w:rtl w:val="0"/>
        </w:rPr>
        <w:t xml:space="preserve">Delightfully eccentric, a linguistic sleight-of-hand, Gould’s Book of Fish: A Novel in Twelve Fish (2001) is the antithesis of its somber predecessor. It is narrated in the grandiloquent voice of William Buelow Gould, a nineteenth-century convict imprisoned in the most notorious penal colony in the British Empire—Tasmania. Gould is a natural-born artist; he is an inspired, indeed a manic talker, an extravagant, Joycean creation who references Faulkner’s As I Lay Dying in the epigraph to his book-within-a-book, and announces solemnly late in the narrative: “My tragedy is that I became a fish.” Gould is a portrait of the artist as a doomed, driven, yet ecstatic figure, a kind of shaman evoking the wild eighteenth-century energies of the early anti-novel, the drollery of Laurence Sterne conjoined with the surrealism of more modern times:</w:t>
      </w:r>
    </w:p>
    <w:p w:rsidR="00000000" w:rsidDel="00000000" w:rsidP="00000000" w:rsidRDefault="00000000" w:rsidRPr="00000000" w14:paraId="0000001D">
      <w:pPr>
        <w:contextualSpacing w:val="0"/>
        <w:rPr/>
      </w:pPr>
      <w:r w:rsidDel="00000000" w:rsidR="00000000" w:rsidRPr="00000000">
        <w:rPr>
          <w:rtl w:val="0"/>
        </w:rPr>
      </w:r>
    </w:p>
    <w:p w:rsidR="00000000" w:rsidDel="00000000" w:rsidP="00000000" w:rsidRDefault="00000000" w:rsidRPr="00000000" w14:paraId="0000001E">
      <w:pPr>
        <w:contextualSpacing w:val="0"/>
        <w:rPr/>
      </w:pPr>
      <w:r w:rsidDel="00000000" w:rsidR="00000000" w:rsidRPr="00000000">
        <w:rPr>
          <w:rtl w:val="0"/>
        </w:rPr>
        <w:t xml:space="preserve">I live now in perfect solitude. We fish keep company it is true, but our thoughts are our own &amp; utterly incommunicable. Our thoughts deepen &amp; we understand each other with a complete profundity only those unburdened by speech &amp; its complications could understand. It is then untrue that we neither think nor feel. Indeed, apart from eating &amp; swimming, it is all we have to occupy our minds….</w:t>
      </w:r>
    </w:p>
    <w:p w:rsidR="00000000" w:rsidDel="00000000" w:rsidP="00000000" w:rsidRDefault="00000000" w:rsidRPr="00000000" w14:paraId="0000001F">
      <w:pPr>
        <w:contextualSpacing w:val="0"/>
        <w:rPr/>
      </w:pPr>
      <w:r w:rsidDel="00000000" w:rsidR="00000000" w:rsidRPr="00000000">
        <w:rPr>
          <w:rtl w:val="0"/>
        </w:rPr>
      </w:r>
    </w:p>
    <w:p w:rsidR="00000000" w:rsidDel="00000000" w:rsidP="00000000" w:rsidRDefault="00000000" w:rsidRPr="00000000" w14:paraId="00000020">
      <w:pPr>
        <w:contextualSpacing w:val="0"/>
        <w:rPr/>
      </w:pPr>
      <w:r w:rsidDel="00000000" w:rsidR="00000000" w:rsidRPr="00000000">
        <w:rPr>
          <w:rtl w:val="0"/>
        </w:rPr>
        <w:t xml:space="preserve">Sometimes I must admit I long once more to have the power of human speech…so that I might explain how I once wanted to live as a rainbow of color exploding, hard sun falling apart in soft rain, but had to be content instead with making grubby marks on cheap cartridge paper.</w:t>
      </w:r>
    </w:p>
    <w:p w:rsidR="00000000" w:rsidDel="00000000" w:rsidP="00000000" w:rsidRDefault="00000000" w:rsidRPr="00000000" w14:paraId="00000021">
      <w:pPr>
        <w:contextualSpacing w:val="0"/>
        <w:rPr/>
      </w:pPr>
      <w:r w:rsidDel="00000000" w:rsidR="00000000" w:rsidRPr="00000000">
        <w:rPr>
          <w:rtl w:val="0"/>
        </w:rPr>
      </w:r>
    </w:p>
    <w:p w:rsidR="00000000" w:rsidDel="00000000" w:rsidP="00000000" w:rsidRDefault="00000000" w:rsidRPr="00000000" w14:paraId="00000022">
      <w:pPr>
        <w:contextualSpacing w:val="0"/>
        <w:rPr/>
      </w:pPr>
      <w:r w:rsidDel="00000000" w:rsidR="00000000" w:rsidRPr="00000000">
        <w:rPr>
          <w:rtl w:val="0"/>
        </w:rPr>
        <w:t xml:space="preserve">Antithetical to the verbal riches of Gould’s Book of Fish is Flanagan’s fourth novel, The Unknown Terrorist (2006), a plot-driven polemic thriller set in the aftermath of September 11. It’s a time when paranoid suspicions of Islamic terrorists are cynically exploited by right-wing politicians and tabloid journalists in Australia as in the United States, and innocent individuals like Flanagan’s hapless protagonist, a twenty-six-year-old pole dancer whose bad luck it is to have spent a night with a man later suspected of being a terrorist, are persecuted mercilessly. Set in a vividly rendered Sydney, cinematic in its swift pace, The Unknown Terrorist reads at times like a screenplay to which digressive musings have been attached somewhat awkwardly, as if to give ballast to the melodramatic plot:</w:t>
      </w:r>
    </w:p>
    <w:p w:rsidR="00000000" w:rsidDel="00000000" w:rsidP="00000000" w:rsidRDefault="00000000" w:rsidRPr="00000000" w14:paraId="00000023">
      <w:pPr>
        <w:contextualSpacing w:val="0"/>
        <w:rPr/>
      </w:pPr>
      <w:r w:rsidDel="00000000" w:rsidR="00000000" w:rsidRPr="00000000">
        <w:rPr>
          <w:rtl w:val="0"/>
        </w:rPr>
      </w:r>
    </w:p>
    <w:p w:rsidR="00000000" w:rsidDel="00000000" w:rsidP="00000000" w:rsidRDefault="00000000" w:rsidRPr="00000000" w14:paraId="00000024">
      <w:pPr>
        <w:contextualSpacing w:val="0"/>
        <w:rPr/>
      </w:pPr>
      <w:r w:rsidDel="00000000" w:rsidR="00000000" w:rsidRPr="00000000">
        <w:rPr>
          <w:rtl w:val="0"/>
        </w:rPr>
        <w:t xml:space="preserve">Nietzsche wrote, “I am not a man, I am dynamite.” It was the image of a dreamer. Every day now somebody somewhere is dynamite. They are not an image. They are the walking dead, and so are the people who are standing around them. Reality was never made by realists, but by dreamers like Jesus and Nietzsche.</w:t>
      </w:r>
    </w:p>
    <w:p w:rsidR="00000000" w:rsidDel="00000000" w:rsidP="00000000" w:rsidRDefault="00000000" w:rsidRPr="00000000" w14:paraId="00000025">
      <w:pPr>
        <w:contextualSpacing w:val="0"/>
        <w:rPr/>
      </w:pPr>
      <w:r w:rsidDel="00000000" w:rsidR="00000000" w:rsidRPr="00000000">
        <w:rPr>
          <w:rtl w:val="0"/>
        </w:rPr>
      </w:r>
    </w:p>
    <w:p w:rsidR="00000000" w:rsidDel="00000000" w:rsidP="00000000" w:rsidRDefault="00000000" w:rsidRPr="00000000" w14:paraId="00000026">
      <w:pPr>
        <w:contextualSpacing w:val="0"/>
        <w:rPr/>
      </w:pPr>
      <w:r w:rsidDel="00000000" w:rsidR="00000000" w:rsidRPr="00000000">
        <w:rPr>
          <w:rtl w:val="0"/>
        </w:rPr>
        <w:t xml:space="preserve">Wanting (2008) is an ebullient return to a nineteenth-century milieu, “a meditation on desire—the cost of its denial, the centrality and force of its power in human affairs,” as Flanagan said in his afterword. It’s a powerful indictment of British colonialism in Australia that takes as its subject the short, tragic life of a real-life Aboriginal orphan named Mathinna who was adopted by the colonial governor of Van Dieman’s Land, Sir John Franklin, and his wife, Jane, and later abandoned to an orphanage. Richly imagined, rhetorically inventive in the manner of Gould’s Book of Fish, Wanting interweaves the story of Mathinna with those of other historical figures of the time, including (middle-aged) Charles Dickens and his (much younger) mistress Ellen Ternan and Dickens’s friend and collaborator Wilkie Collins.</w:t>
      </w:r>
    </w:p>
    <w:p w:rsidR="00000000" w:rsidDel="00000000" w:rsidP="00000000" w:rsidRDefault="00000000" w:rsidRPr="00000000" w14:paraId="00000027">
      <w:pPr>
        <w:contextualSpacing w:val="0"/>
        <w:rPr/>
      </w:pPr>
      <w:r w:rsidDel="00000000" w:rsidR="00000000" w:rsidRPr="00000000">
        <w:rPr>
          <w:rtl w:val="0"/>
        </w:rPr>
      </w:r>
    </w:p>
    <w:p w:rsidR="00000000" w:rsidDel="00000000" w:rsidP="00000000" w:rsidRDefault="00000000" w:rsidRPr="00000000" w14:paraId="00000028">
      <w:pPr>
        <w:contextualSpacing w:val="0"/>
        <w:rPr/>
      </w:pPr>
      <w:r w:rsidDel="00000000" w:rsidR="00000000" w:rsidRPr="00000000">
        <w:rPr>
          <w:rtl w:val="0"/>
        </w:rPr>
        <w:t xml:space="preserve">Flanagan’s best-known novel is the Booker Prize–winning The Narrow Road to the Deep North (2013). Inspired by the ordeals Flanagan’s father suffered as a Japanese prisoner of war forced to work on the Thai–Burma Railway during World War II, The Narrow Road is what one might call an exemplary “traditional” novel with clearly defined characters (both Australian prisoners and Japanese prison camp officers) and a resolutely low-key narrative voice. If Gould is a saturnalia of ecstatic speech, the voice of Narrow Road is plain, forthright, reportorial—one thinks of Orwell’s injunction to write with the transparency of a pane of glass. The Japanese POW camp is a place of unspeakable sadism and brutality, and in trying to summon his thoughts about it the survivor Dorrigo Evans ponders “why he could not write something so obvious and simple”—the irony being that Flanagan is able to accomplish just this. The novel looks back to Dorrigo’s disappointment when he tried to read a romantic novel in the prison camp and discovered that its last pages had been ripped out: “There was no hope or joy or understanding. There was no last page. The book of his life just broke off.”</w:t>
      </w:r>
    </w:p>
    <w:p w:rsidR="00000000" w:rsidDel="00000000" w:rsidP="00000000" w:rsidRDefault="00000000" w:rsidRPr="00000000" w14:paraId="00000029">
      <w:pPr>
        <w:contextualSpacing w:val="0"/>
        <w:rPr/>
      </w:pPr>
      <w:r w:rsidDel="00000000" w:rsidR="00000000" w:rsidRPr="00000000">
        <w:rPr>
          <w:rtl w:val="0"/>
        </w:rPr>
      </w:r>
    </w:p>
    <w:p w:rsidR="00000000" w:rsidDel="00000000" w:rsidP="00000000" w:rsidRDefault="00000000" w:rsidRPr="00000000" w14:paraId="0000002A">
      <w:pPr>
        <w:contextualSpacing w:val="0"/>
        <w:rPr/>
      </w:pPr>
      <w:r w:rsidDel="00000000" w:rsidR="00000000" w:rsidRPr="00000000">
        <w:rPr>
          <w:rtl w:val="0"/>
        </w:rPr>
        <w:t xml:space="preserve">As The Narrow Road to the Deep North was inspired by his father’s experience, so Flanagan’s new, seventh novel, First Person, has been inspired by his own experience as a young husband and father. Desperate for money, Flanagan agreed to ghostwrite the “autobiography” of a con man named John Friedrich for $10,000 during a hectic six-week period in 1991. German-born, an immigrant to Australia, the canny, charismatic Friedrich was charged with defrauding investors and banks of many millions of dollars in the 1980s. Midway through his collaboration with Flanagan he committed suicide, freeing the young writer to complete the memoir, Codename Iago: The Story of John Friedrich (1991), on his own terms.</w:t>
      </w:r>
    </w:p>
    <w:p w:rsidR="00000000" w:rsidDel="00000000" w:rsidP="00000000" w:rsidRDefault="00000000" w:rsidRPr="00000000" w14:paraId="0000002B">
      <w:pPr>
        <w:contextualSpacing w:val="0"/>
        <w:rPr/>
      </w:pPr>
      <w:r w:rsidDel="00000000" w:rsidR="00000000" w:rsidRPr="00000000">
        <w:rPr>
          <w:rtl w:val="0"/>
        </w:rPr>
      </w:r>
    </w:p>
    <w:p w:rsidR="00000000" w:rsidDel="00000000" w:rsidP="00000000" w:rsidRDefault="00000000" w:rsidRPr="00000000" w14:paraId="0000002C">
      <w:pPr>
        <w:contextualSpacing w:val="0"/>
        <w:rPr/>
      </w:pPr>
      <w:r w:rsidDel="00000000" w:rsidR="00000000" w:rsidRPr="00000000">
        <w:rPr>
          <w:rtl w:val="0"/>
        </w:rPr>
        <w:t xml:space="preserve">That it was a traumatic and humiliating experience for Flanagan is evident from the disjointed narrative of First Person, which tracks a nearly identical collaboration between a notorious (fictitious) Australian con man and a young writer who takes the job purely for money. The novel is, in effect, a monologue by the young writer, a reminiscence interrupted by numerous starts, stops, digressions, and passages of self-loathing and self-pity: “The only thing worse than writing was not writing…. The art, I read, was to find your center and write from that. It wasn’t that I worried I couldn’t reach my center. It was that I feared I had. And there was nothing there.”</w:t>
      </w:r>
    </w:p>
    <w:p w:rsidR="00000000" w:rsidDel="00000000" w:rsidP="00000000" w:rsidRDefault="00000000" w:rsidRPr="00000000" w14:paraId="0000002D">
      <w:pPr>
        <w:contextualSpacing w:val="0"/>
        <w:rPr/>
      </w:pPr>
      <w:r w:rsidDel="00000000" w:rsidR="00000000" w:rsidRPr="00000000">
        <w:rPr>
          <w:rtl w:val="0"/>
        </w:rPr>
      </w:r>
    </w:p>
    <w:p w:rsidR="00000000" w:rsidDel="00000000" w:rsidP="00000000" w:rsidRDefault="00000000" w:rsidRPr="00000000" w14:paraId="0000002E">
      <w:pPr>
        <w:contextualSpacing w:val="0"/>
        <w:rPr/>
      </w:pPr>
      <w:r w:rsidDel="00000000" w:rsidR="00000000" w:rsidRPr="00000000">
        <w:rPr>
          <w:rtl w:val="0"/>
        </w:rPr>
        <w:t xml:space="preserve">Flanagan’s experience as a ghostwriter would seem to have jaded his idealism about publishing as well. His financially strapped alter ego Kif signs on with a Melbourne publisher named Gene Paley, who is said to be “frightened of literature…. For one thing, it doesn’t sell. For another, it can fairly be said that it asks questions it can’t answer…. It reminds them that the business of life is failure, and that the failure to know this is true ignorance.” Australian publishing, perhaps all publishing, has become crassly commercial; as Kif puts it, publishers favor “books on chocolate, gardening, furniture, military history, tired celebrities; tedious memoirs and pulp novels…. The trade explained all things.” Paley encourages Kif: “If you can only learn to write badly enough you can make a great deal of money.” Later, Kif is introduced to a successful woman writer of memoirs with eyes “the dull color of old snail shells,” who mocks the very principle of literary fiction:</w:t>
      </w:r>
    </w:p>
    <w:p w:rsidR="00000000" w:rsidDel="00000000" w:rsidP="00000000" w:rsidRDefault="00000000" w:rsidRPr="00000000" w14:paraId="0000002F">
      <w:pPr>
        <w:contextualSpacing w:val="0"/>
        <w:rPr/>
      </w:pPr>
      <w:r w:rsidDel="00000000" w:rsidR="00000000" w:rsidRPr="00000000">
        <w:rPr>
          <w:rtl w:val="0"/>
        </w:rPr>
      </w:r>
    </w:p>
    <w:p w:rsidR="00000000" w:rsidDel="00000000" w:rsidP="00000000" w:rsidRDefault="00000000" w:rsidRPr="00000000" w14:paraId="00000030">
      <w:pPr>
        <w:contextualSpacing w:val="0"/>
        <w:rPr/>
      </w:pPr>
      <w:r w:rsidDel="00000000" w:rsidR="00000000" w:rsidRPr="00000000">
        <w:rPr>
          <w:rtl w:val="0"/>
        </w:rPr>
        <w:t xml:space="preserve">It’s fake, inventing stories as if they explain things…. Plot, character, Jack and Jill going up the hill. Just the thought of a fabricated character doing fabricated things in a fabricated story makes me want to gag. I am totally hoping never to read another novel again….</w:t>
      </w:r>
    </w:p>
    <w:p w:rsidR="00000000" w:rsidDel="00000000" w:rsidP="00000000" w:rsidRDefault="00000000" w:rsidRPr="00000000" w14:paraId="00000031">
      <w:pPr>
        <w:contextualSpacing w:val="0"/>
        <w:rPr/>
      </w:pPr>
      <w:r w:rsidDel="00000000" w:rsidR="00000000" w:rsidRPr="00000000">
        <w:rPr>
          <w:rtl w:val="0"/>
        </w:rPr>
      </w:r>
    </w:p>
    <w:p w:rsidR="00000000" w:rsidDel="00000000" w:rsidP="00000000" w:rsidRDefault="00000000" w:rsidRPr="00000000" w14:paraId="00000032">
      <w:pPr>
        <w:contextualSpacing w:val="0"/>
        <w:rPr/>
      </w:pPr>
      <w:r w:rsidDel="00000000" w:rsidR="00000000" w:rsidRPr="00000000">
        <w:rPr>
          <w:rtl w:val="0"/>
        </w:rPr>
        <w:t xml:space="preserve">Everyone wants to be the first person. Autobiography is all we have. I mean, isn’t that what you do in reality TV?</w:t>
      </w:r>
    </w:p>
    <w:p w:rsidR="00000000" w:rsidDel="00000000" w:rsidP="00000000" w:rsidRDefault="00000000" w:rsidRPr="00000000" w14:paraId="00000033">
      <w:pPr>
        <w:contextualSpacing w:val="0"/>
        <w:rPr/>
      </w:pPr>
      <w:r w:rsidDel="00000000" w:rsidR="00000000" w:rsidRPr="00000000">
        <w:rPr>
          <w:rtl w:val="0"/>
        </w:rPr>
      </w:r>
    </w:p>
    <w:p w:rsidR="00000000" w:rsidDel="00000000" w:rsidP="00000000" w:rsidRDefault="00000000" w:rsidRPr="00000000" w14:paraId="00000034">
      <w:pPr>
        <w:contextualSpacing w:val="0"/>
        <w:rPr/>
      </w:pPr>
      <w:r w:rsidDel="00000000" w:rsidR="00000000" w:rsidRPr="00000000">
        <w:rPr>
          <w:rtl w:val="0"/>
        </w:rPr>
        <w:t xml:space="preserve">Though it is not likely that First Person will be called a masterpiece, the novel is, in its way, a virtuosic performance of writerly self-flagellation, self-disgust, even masochism; a nightmare of frustration, thwarted idealism, shame; a dissection of a still-living corpse, the ghostwriter’s own. Most tales of selling one’s soul to the devil involve a significant exchange and may be cloaked in grandeur and mystery (Goethe’s Faust, Mann’s Dr. Faustus, Conrad’s Heart of Darkness). Kif’s transaction with the con man, Siegfried Heidl (“Ziggy”), involves no such lofty promises. A witty insight into the novel’s gravitas is delivered as a casual aside from an observer: “The word shithole, Ray said, is too interesting for a shithole like this.” Kif calls Ziggy’s smile “an undertow of sinister complicity.”</w:t>
      </w:r>
    </w:p>
    <w:p w:rsidR="00000000" w:rsidDel="00000000" w:rsidP="00000000" w:rsidRDefault="00000000" w:rsidRPr="00000000" w14:paraId="00000035">
      <w:pPr>
        <w:contextualSpacing w:val="0"/>
        <w:rPr/>
      </w:pPr>
      <w:r w:rsidDel="00000000" w:rsidR="00000000" w:rsidRPr="00000000">
        <w:rPr>
          <w:rtl w:val="0"/>
        </w:rPr>
      </w:r>
    </w:p>
    <w:p w:rsidR="00000000" w:rsidDel="00000000" w:rsidP="00000000" w:rsidRDefault="00000000" w:rsidRPr="00000000" w14:paraId="00000036">
      <w:pPr>
        <w:contextualSpacing w:val="0"/>
        <w:rPr/>
      </w:pPr>
      <w:r w:rsidDel="00000000" w:rsidR="00000000" w:rsidRPr="00000000">
        <w:rPr>
          <w:rtl w:val="0"/>
        </w:rPr>
        <w:t xml:space="preserve">First Person differs from Flanagan’s previous works of fiction not only in its tone of unrelieved disgust and dismay but in the narrowness of its linguistic scope. There are few ecstatic flights of language, little wonder at the terrible and joyful mysteries of the world, virtually no lyricism, only anger and incredulity on Kif’s part that he—“an islander from an island at world’s end where the measure of all things that mattered was not man-made, and such sights that moved modern literature did not move me”—has gotten himself into an unbearable situation.</w:t>
      </w:r>
    </w:p>
    <w:p w:rsidR="00000000" w:rsidDel="00000000" w:rsidP="00000000" w:rsidRDefault="00000000" w:rsidRPr="00000000" w14:paraId="00000037">
      <w:pPr>
        <w:contextualSpacing w:val="0"/>
        <w:rPr/>
      </w:pPr>
      <w:r w:rsidDel="00000000" w:rsidR="00000000" w:rsidRPr="00000000">
        <w:rPr>
          <w:rtl w:val="0"/>
        </w:rPr>
      </w:r>
    </w:p>
    <w:p w:rsidR="00000000" w:rsidDel="00000000" w:rsidP="00000000" w:rsidRDefault="00000000" w:rsidRPr="00000000" w14:paraId="00000038">
      <w:pPr>
        <w:contextualSpacing w:val="0"/>
        <w:rPr/>
      </w:pPr>
      <w:r w:rsidDel="00000000" w:rsidR="00000000" w:rsidRPr="00000000">
        <w:rPr>
          <w:rtl w:val="0"/>
        </w:rPr>
      </w:r>
    </w:p>
    <w:p w:rsidR="00000000" w:rsidDel="00000000" w:rsidP="00000000" w:rsidRDefault="00000000" w:rsidRPr="00000000" w14:paraId="00000039">
      <w:pPr>
        <w:contextualSpacing w:val="0"/>
        <w:rPr/>
      </w:pPr>
      <w:r w:rsidDel="00000000" w:rsidR="00000000" w:rsidRPr="00000000">
        <w:rPr>
          <w:rtl w:val="0"/>
        </w:rPr>
        <w:t xml:space="preserve">Edward Gorey Charitable Trust</w:t>
      </w:r>
    </w:p>
    <w:p w:rsidR="00000000" w:rsidDel="00000000" w:rsidP="00000000" w:rsidRDefault="00000000" w:rsidRPr="00000000" w14:paraId="0000003A">
      <w:pPr>
        <w:contextualSpacing w:val="0"/>
        <w:rPr/>
      </w:pPr>
      <w:r w:rsidDel="00000000" w:rsidR="00000000" w:rsidRPr="00000000">
        <w:rPr>
          <w:rtl w:val="0"/>
        </w:rPr>
        <w:t xml:space="preserve">Poor Kif! He seems less a character than an amalgam of symptoms of writerly panic, a creation of Evelyn Waugh or Martin Amis: “It wasn’t that I wanted to be a writer. It was that I knew I was a writer.” Kif’s publications are few and modest, but he once won the “Wangaratta City Council Edith Langley Award” as “possibly a new voice in Australian literature.” Kif turns his most savage satirical insights against himself:</w:t>
      </w:r>
    </w:p>
    <w:p w:rsidR="00000000" w:rsidDel="00000000" w:rsidP="00000000" w:rsidRDefault="00000000" w:rsidRPr="00000000" w14:paraId="0000003B">
      <w:pPr>
        <w:contextualSpacing w:val="0"/>
        <w:rPr/>
      </w:pPr>
      <w:r w:rsidDel="00000000" w:rsidR="00000000" w:rsidRPr="00000000">
        <w:rPr>
          <w:rtl w:val="0"/>
        </w:rPr>
      </w:r>
    </w:p>
    <w:p w:rsidR="00000000" w:rsidDel="00000000" w:rsidP="00000000" w:rsidRDefault="00000000" w:rsidRPr="00000000" w14:paraId="0000003C">
      <w:pPr>
        <w:contextualSpacing w:val="0"/>
        <w:rPr/>
      </w:pPr>
      <w:r w:rsidDel="00000000" w:rsidR="00000000" w:rsidRPr="00000000">
        <w:rPr>
          <w:rtl w:val="0"/>
        </w:rPr>
        <w:t xml:space="preserve">I faced the inconvenient dilemma of not knowing how to write a novel, and the growing unspoken terror that perhaps I couldn’t. Written I had words. Written I had anecdotes, theories, lyrical passages of prose…. Written I had nothing. Yet unwritten I had a life, feelings, memories, dreams—a universe! How had I made of this universe of everything a nothing of words?… My writing was only words. There was no story. There was no soul.</w:t>
      </w:r>
    </w:p>
    <w:p w:rsidR="00000000" w:rsidDel="00000000" w:rsidP="00000000" w:rsidRDefault="00000000" w:rsidRPr="00000000" w14:paraId="0000003D">
      <w:pPr>
        <w:contextualSpacing w:val="0"/>
        <w:rPr/>
      </w:pPr>
      <w:r w:rsidDel="00000000" w:rsidR="00000000" w:rsidRPr="00000000">
        <w:rPr>
          <w:rtl w:val="0"/>
        </w:rPr>
      </w:r>
    </w:p>
    <w:p w:rsidR="00000000" w:rsidDel="00000000" w:rsidP="00000000" w:rsidRDefault="00000000" w:rsidRPr="00000000" w14:paraId="0000003E">
      <w:pPr>
        <w:contextualSpacing w:val="0"/>
        <w:rPr/>
      </w:pPr>
      <w:r w:rsidDel="00000000" w:rsidR="00000000" w:rsidRPr="00000000">
        <w:rPr>
          <w:rtl w:val="0"/>
        </w:rPr>
        <w:t xml:space="preserve">Kif’s literary models—Borges, Kafka, Cortázar—offer no answers about how to start seeking this soul:</w:t>
      </w:r>
    </w:p>
    <w:p w:rsidR="00000000" w:rsidDel="00000000" w:rsidP="00000000" w:rsidRDefault="00000000" w:rsidRPr="00000000" w14:paraId="0000003F">
      <w:pPr>
        <w:contextualSpacing w:val="0"/>
        <w:rPr/>
      </w:pPr>
      <w:r w:rsidDel="00000000" w:rsidR="00000000" w:rsidRPr="00000000">
        <w:rPr>
          <w:rtl w:val="0"/>
        </w:rPr>
      </w:r>
    </w:p>
    <w:p w:rsidR="00000000" w:rsidDel="00000000" w:rsidP="00000000" w:rsidRDefault="00000000" w:rsidRPr="00000000" w14:paraId="00000040">
      <w:pPr>
        <w:contextualSpacing w:val="0"/>
        <w:rPr/>
      </w:pPr>
      <w:r w:rsidDel="00000000" w:rsidR="00000000" w:rsidRPr="00000000">
        <w:rPr>
          <w:rtl w:val="0"/>
        </w:rPr>
        <w:t xml:space="preserve">None of them had mortgage payments they feared every month they would not make. They played games with time and infinity, made myths of dreams and nightmares. They didn’t even know the questions I tried not to ask, so unliterary did my questions seem….</w:t>
      </w:r>
    </w:p>
    <w:p w:rsidR="00000000" w:rsidDel="00000000" w:rsidP="00000000" w:rsidRDefault="00000000" w:rsidRPr="00000000" w14:paraId="00000041">
      <w:pPr>
        <w:contextualSpacing w:val="0"/>
        <w:rPr/>
      </w:pPr>
      <w:r w:rsidDel="00000000" w:rsidR="00000000" w:rsidRPr="00000000">
        <w:rPr>
          <w:rtl w:val="0"/>
        </w:rPr>
      </w:r>
    </w:p>
    <w:p w:rsidR="00000000" w:rsidDel="00000000" w:rsidP="00000000" w:rsidRDefault="00000000" w:rsidRPr="00000000" w14:paraId="00000042">
      <w:pPr>
        <w:contextualSpacing w:val="0"/>
        <w:rPr/>
      </w:pPr>
      <w:r w:rsidDel="00000000" w:rsidR="00000000" w:rsidRPr="00000000">
        <w:rPr>
          <w:rtl w:val="0"/>
        </w:rPr>
        <w:t xml:space="preserve">Such as how to afford ten litres of paint?</w:t>
      </w:r>
    </w:p>
    <w:p w:rsidR="00000000" w:rsidDel="00000000" w:rsidP="00000000" w:rsidRDefault="00000000" w:rsidRPr="00000000" w14:paraId="00000043">
      <w:pPr>
        <w:contextualSpacing w:val="0"/>
        <w:rPr/>
      </w:pPr>
      <w:r w:rsidDel="00000000" w:rsidR="00000000" w:rsidRPr="00000000">
        <w:rPr>
          <w:rtl w:val="0"/>
        </w:rPr>
      </w:r>
    </w:p>
    <w:p w:rsidR="00000000" w:rsidDel="00000000" w:rsidP="00000000" w:rsidRDefault="00000000" w:rsidRPr="00000000" w14:paraId="00000044">
      <w:pPr>
        <w:contextualSpacing w:val="0"/>
        <w:rPr/>
      </w:pPr>
      <w:r w:rsidDel="00000000" w:rsidR="00000000" w:rsidRPr="00000000">
        <w:rPr>
          <w:rtl w:val="0"/>
        </w:rPr>
        <w:t xml:space="preserve">In short, “How to make money?” Married young, with a child and a wife pregnant with twins, Kif believes that he has no alternative but to collaborate with Ziggy: “I was thirty-one when the magic vanished and the phone rang.” Soon Kif is rationalizing his decision about setting aside “moral qualms about working with a criminal”—“Wasn’t I a writer, after all? Nothing was beneath me.” “Though I had nothing to say, I had read enough Australian literature to know this wasn’t necessarily an impediment to authorship.”</w:t>
      </w:r>
    </w:p>
    <w:p w:rsidR="00000000" w:rsidDel="00000000" w:rsidP="00000000" w:rsidRDefault="00000000" w:rsidRPr="00000000" w14:paraId="00000045">
      <w:pPr>
        <w:contextualSpacing w:val="0"/>
        <w:rPr/>
      </w:pPr>
      <w:r w:rsidDel="00000000" w:rsidR="00000000" w:rsidRPr="00000000">
        <w:rPr>
          <w:rtl w:val="0"/>
        </w:rPr>
      </w:r>
    </w:p>
    <w:p w:rsidR="00000000" w:rsidDel="00000000" w:rsidP="00000000" w:rsidRDefault="00000000" w:rsidRPr="00000000" w14:paraId="00000046">
      <w:pPr>
        <w:contextualSpacing w:val="0"/>
        <w:rPr/>
      </w:pPr>
      <w:r w:rsidDel="00000000" w:rsidR="00000000" w:rsidRPr="00000000">
        <w:rPr>
          <w:rtl w:val="0"/>
        </w:rPr>
        <w:t xml:space="preserve">Flanagan has structured his monologue-novel so that we know beforehand that Kif will be disappointed by this decision. The drama of revelation is somewhat undercut by an elegiac summing-up in the first chapter:</w:t>
      </w:r>
    </w:p>
    <w:p w:rsidR="00000000" w:rsidDel="00000000" w:rsidP="00000000" w:rsidRDefault="00000000" w:rsidRPr="00000000" w14:paraId="00000047">
      <w:pPr>
        <w:contextualSpacing w:val="0"/>
        <w:rPr/>
      </w:pPr>
      <w:r w:rsidDel="00000000" w:rsidR="00000000" w:rsidRPr="00000000">
        <w:rPr>
          <w:rtl w:val="0"/>
        </w:rPr>
      </w:r>
    </w:p>
    <w:p w:rsidR="00000000" w:rsidDel="00000000" w:rsidP="00000000" w:rsidRDefault="00000000" w:rsidRPr="00000000" w14:paraId="00000048">
      <w:pPr>
        <w:contextualSpacing w:val="0"/>
        <w:rPr/>
      </w:pPr>
      <w:r w:rsidDel="00000000" w:rsidR="00000000" w:rsidRPr="00000000">
        <w:rPr>
          <w:rtl w:val="0"/>
        </w:rPr>
        <w:t xml:space="preserve">They want to say things, the dead. Ordinary things, everyday things. Of a night they return to me and I allow them in. I let them their tongue…. But there is no Ziggy Heidl. No Ray. No others. Back then, before I had written anything, I knew everything about writing. Now I know nothing. Living? Nothing. Life? Nothing. Nothing at all.</w:t>
      </w:r>
    </w:p>
    <w:p w:rsidR="00000000" w:rsidDel="00000000" w:rsidP="00000000" w:rsidRDefault="00000000" w:rsidRPr="00000000" w14:paraId="00000049">
      <w:pPr>
        <w:contextualSpacing w:val="0"/>
        <w:rPr/>
      </w:pPr>
      <w:r w:rsidDel="00000000" w:rsidR="00000000" w:rsidRPr="00000000">
        <w:rPr>
          <w:rtl w:val="0"/>
        </w:rPr>
      </w:r>
    </w:p>
    <w:p w:rsidR="00000000" w:rsidDel="00000000" w:rsidP="00000000" w:rsidRDefault="00000000" w:rsidRPr="00000000" w14:paraId="0000004A">
      <w:pPr>
        <w:contextualSpacing w:val="0"/>
        <w:rPr/>
      </w:pPr>
      <w:r w:rsidDel="00000000" w:rsidR="00000000" w:rsidRPr="00000000">
        <w:rPr>
          <w:rtl w:val="0"/>
        </w:rPr>
        <w:t xml:space="preserve">It is often said that victims of con men are incredulous not so much that the person they trusted has turned out to be an outrageous criminal but rather that they were so naively trusting, so willing to believe. The “sinister complicity” is their downfall. Where “pure greed” is the motivation, many, perhaps most, people are eager to believe the unlikely, provided the con man is plausible enough: “Don’t you see? [Heidl] said, leaning forward onto his desk. I made it up. Every day, just like you. Like a writer.”</w:t>
      </w:r>
    </w:p>
    <w:p w:rsidR="00000000" w:rsidDel="00000000" w:rsidP="00000000" w:rsidRDefault="00000000" w:rsidRPr="00000000" w14:paraId="0000004B">
      <w:pPr>
        <w:contextualSpacing w:val="0"/>
        <w:rPr/>
      </w:pPr>
      <w:r w:rsidDel="00000000" w:rsidR="00000000" w:rsidRPr="00000000">
        <w:rPr>
          <w:rtl w:val="0"/>
        </w:rPr>
      </w:r>
    </w:p>
    <w:p w:rsidR="00000000" w:rsidDel="00000000" w:rsidP="00000000" w:rsidRDefault="00000000" w:rsidRPr="00000000" w14:paraId="0000004C">
      <w:pPr>
        <w:contextualSpacing w:val="0"/>
        <w:rPr/>
      </w:pPr>
      <w:r w:rsidDel="00000000" w:rsidR="00000000" w:rsidRPr="00000000">
        <w:rPr>
          <w:rtl w:val="0"/>
        </w:rPr>
        <w:t xml:space="preserve">The less the con man tells his victims, the more they cooperate with him: “The more they made it up. In the end, I didn’t have to make up anything…. The greatest of prophets has but the vaguest of messages…. The vaguer the message, the greater the prophet.” Heidl shares the psychopath’s bemusement over why, to others, “truth matters.” But he is the antithesis of Mephistopheles or Conrad’s Kurtz. Up close he seems</w:t>
      </w:r>
    </w:p>
    <w:p w:rsidR="00000000" w:rsidDel="00000000" w:rsidP="00000000" w:rsidRDefault="00000000" w:rsidRPr="00000000" w14:paraId="0000004D">
      <w:pPr>
        <w:contextualSpacing w:val="0"/>
        <w:rPr/>
      </w:pPr>
      <w:r w:rsidDel="00000000" w:rsidR="00000000" w:rsidRPr="00000000">
        <w:rPr>
          <w:rtl w:val="0"/>
        </w:rPr>
      </w:r>
    </w:p>
    <w:p w:rsidR="00000000" w:rsidDel="00000000" w:rsidP="00000000" w:rsidRDefault="00000000" w:rsidRPr="00000000" w14:paraId="0000004E">
      <w:pPr>
        <w:contextualSpacing w:val="0"/>
        <w:rPr/>
      </w:pPr>
      <w:r w:rsidDel="00000000" w:rsidR="00000000" w:rsidRPr="00000000">
        <w:rPr>
          <w:rtl w:val="0"/>
        </w:rPr>
        <w:t xml:space="preserve">diminished, exhausted, prevaricating. He seemed physically small and personally insignificant. I must have seen images of Heidl a hundred times or more on TV and in the papers, but I couldn’t really recall anything about him…. I remember he didn’t have much hair and he was of indeterminate age, small, slightly stout, but apart from that—and his twitching cheek—it’s hard to say what he was…. From the beginning, he was always there and never to be found.</w:t>
      </w:r>
    </w:p>
    <w:p w:rsidR="00000000" w:rsidDel="00000000" w:rsidP="00000000" w:rsidRDefault="00000000" w:rsidRPr="00000000" w14:paraId="0000004F">
      <w:pPr>
        <w:contextualSpacing w:val="0"/>
        <w:rPr/>
      </w:pPr>
      <w:r w:rsidDel="00000000" w:rsidR="00000000" w:rsidRPr="00000000">
        <w:rPr>
          <w:rtl w:val="0"/>
        </w:rPr>
      </w:r>
    </w:p>
    <w:p w:rsidR="00000000" w:rsidDel="00000000" w:rsidP="00000000" w:rsidRDefault="00000000" w:rsidRPr="00000000" w14:paraId="00000050">
      <w:pPr>
        <w:contextualSpacing w:val="0"/>
        <w:rPr/>
      </w:pPr>
      <w:r w:rsidDel="00000000" w:rsidR="00000000" w:rsidRPr="00000000">
        <w:rPr>
          <w:rtl w:val="0"/>
        </w:rPr>
        <w:t xml:space="preserve">Kif is “surprised” that “one of Australia’s greatest criminals” is “somebody so mundane.”</w:t>
      </w:r>
    </w:p>
    <w:p w:rsidR="00000000" w:rsidDel="00000000" w:rsidP="00000000" w:rsidRDefault="00000000" w:rsidRPr="00000000" w14:paraId="00000051">
      <w:pPr>
        <w:contextualSpacing w:val="0"/>
        <w:rPr/>
      </w:pPr>
      <w:r w:rsidDel="00000000" w:rsidR="00000000" w:rsidRPr="00000000">
        <w:rPr>
          <w:rtl w:val="0"/>
        </w:rPr>
      </w:r>
    </w:p>
    <w:p w:rsidR="00000000" w:rsidDel="00000000" w:rsidP="00000000" w:rsidRDefault="00000000" w:rsidRPr="00000000" w14:paraId="00000052">
      <w:pPr>
        <w:contextualSpacing w:val="0"/>
        <w:rPr/>
      </w:pPr>
      <w:r w:rsidDel="00000000" w:rsidR="00000000" w:rsidRPr="00000000">
        <w:rPr>
          <w:rtl w:val="0"/>
        </w:rPr>
        <w:t xml:space="preserve">Eventually, as if catching a contagious disease, Kif absorbs some of Heidl’s traits of deceit and subterfuge. He gives up on authenticity, rationalizing that a memoir is in fact “a series of selected lies.” He is energized, even inspired:</w:t>
      </w:r>
    </w:p>
    <w:p w:rsidR="00000000" w:rsidDel="00000000" w:rsidP="00000000" w:rsidRDefault="00000000" w:rsidRPr="00000000" w14:paraId="00000053">
      <w:pPr>
        <w:contextualSpacing w:val="0"/>
        <w:rPr/>
      </w:pPr>
      <w:r w:rsidDel="00000000" w:rsidR="00000000" w:rsidRPr="00000000">
        <w:rPr>
          <w:rtl w:val="0"/>
        </w:rPr>
      </w:r>
    </w:p>
    <w:p w:rsidR="00000000" w:rsidDel="00000000" w:rsidP="00000000" w:rsidRDefault="00000000" w:rsidRPr="00000000" w14:paraId="00000054">
      <w:pPr>
        <w:contextualSpacing w:val="0"/>
        <w:rPr/>
      </w:pPr>
      <w:r w:rsidDel="00000000" w:rsidR="00000000" w:rsidRPr="00000000">
        <w:rPr>
          <w:rtl w:val="0"/>
        </w:rPr>
        <w:t xml:space="preserve">I found within me a man without morals, who could pretend to any feeling that was necessary in order to gull others. Like Heidl, I tried on emotions, wore them for so long as they were useful, then changed into something fresh…. To write about Heidl I had no need of Heidl.</w:t>
      </w:r>
    </w:p>
    <w:p w:rsidR="00000000" w:rsidDel="00000000" w:rsidP="00000000" w:rsidRDefault="00000000" w:rsidRPr="00000000" w14:paraId="00000055">
      <w:pPr>
        <w:contextualSpacing w:val="0"/>
        <w:rPr/>
      </w:pPr>
      <w:r w:rsidDel="00000000" w:rsidR="00000000" w:rsidRPr="00000000">
        <w:rPr>
          <w:rtl w:val="0"/>
        </w:rPr>
      </w:r>
    </w:p>
    <w:p w:rsidR="00000000" w:rsidDel="00000000" w:rsidP="00000000" w:rsidRDefault="00000000" w:rsidRPr="00000000" w14:paraId="00000056">
      <w:pPr>
        <w:contextualSpacing w:val="0"/>
        <w:rPr/>
      </w:pPr>
      <w:r w:rsidDel="00000000" w:rsidR="00000000" w:rsidRPr="00000000">
        <w:rPr>
          <w:rtl w:val="0"/>
        </w:rPr>
        <w:t xml:space="preserve">Heidl is the quintessential self-made man—or rather, “a man ceaselessly self-making.” Kif discovers his previous incarnations in Bavaria, Vienna, and elsewhere: “He had many births and many parents, and his origins were as mystical and protean as the gods of old. Each incarnation more mysterious than the last, Heidl begat Heidl who begat Heidl.” Heidl’s public persona was “dreary beyond belief, a cloying tale of an average man who loved his family and worked hard helping others.” Yet oddly “there was about him that intolerable sensuality you sometimes see in an animal.” Later, Kif comes to realize that Heidl wasn’t even that awesome a criminal:</w:t>
      </w:r>
    </w:p>
    <w:p w:rsidR="00000000" w:rsidDel="00000000" w:rsidP="00000000" w:rsidRDefault="00000000" w:rsidRPr="00000000" w14:paraId="00000057">
      <w:pPr>
        <w:contextualSpacing w:val="0"/>
        <w:rPr/>
      </w:pPr>
      <w:r w:rsidDel="00000000" w:rsidR="00000000" w:rsidRPr="00000000">
        <w:rPr>
          <w:rtl w:val="0"/>
        </w:rPr>
      </w:r>
    </w:p>
    <w:p w:rsidR="00000000" w:rsidDel="00000000" w:rsidP="00000000" w:rsidRDefault="00000000" w:rsidRPr="00000000" w14:paraId="00000058">
      <w:pPr>
        <w:contextualSpacing w:val="0"/>
        <w:rPr/>
      </w:pPr>
      <w:r w:rsidDel="00000000" w:rsidR="00000000" w:rsidRPr="00000000">
        <w:rPr>
          <w:rtl w:val="0"/>
        </w:rPr>
        <w:t xml:space="preserve">He swindled the banks of seven hundred million, but soon enough the world would be swindled by so much more…junk bonds, no doc loans, derivatives…. Names like Enron, Lehman Brothers, Northern Rock and Bear Stearns…. Every one of them impressive from far away, the promise of good things.</w:t>
      </w:r>
    </w:p>
    <w:p w:rsidR="00000000" w:rsidDel="00000000" w:rsidP="00000000" w:rsidRDefault="00000000" w:rsidRPr="00000000" w14:paraId="00000059">
      <w:pPr>
        <w:contextualSpacing w:val="0"/>
        <w:rPr/>
      </w:pPr>
      <w:r w:rsidDel="00000000" w:rsidR="00000000" w:rsidRPr="00000000">
        <w:rPr>
          <w:rtl w:val="0"/>
        </w:rPr>
      </w:r>
    </w:p>
    <w:p w:rsidR="00000000" w:rsidDel="00000000" w:rsidP="00000000" w:rsidRDefault="00000000" w:rsidRPr="00000000" w14:paraId="0000005A">
      <w:pPr>
        <w:contextualSpacing w:val="0"/>
        <w:rPr/>
      </w:pPr>
      <w:r w:rsidDel="00000000" w:rsidR="00000000" w:rsidRPr="00000000">
        <w:rPr>
          <w:rtl w:val="0"/>
        </w:rPr>
        <w:t xml:space="preserve">And up close empty, rusting black holes.</w:t>
      </w:r>
    </w:p>
    <w:p w:rsidR="00000000" w:rsidDel="00000000" w:rsidP="00000000" w:rsidRDefault="00000000" w:rsidRPr="00000000" w14:paraId="0000005B">
      <w:pPr>
        <w:contextualSpacing w:val="0"/>
        <w:rPr/>
      </w:pPr>
      <w:r w:rsidDel="00000000" w:rsidR="00000000" w:rsidRPr="00000000">
        <w:rPr>
          <w:rtl w:val="0"/>
        </w:rPr>
      </w:r>
    </w:p>
    <w:p w:rsidR="00000000" w:rsidDel="00000000" w:rsidP="00000000" w:rsidRDefault="00000000" w:rsidRPr="00000000" w14:paraId="0000005C">
      <w:pPr>
        <w:contextualSpacing w:val="0"/>
        <w:rPr/>
      </w:pPr>
      <w:r w:rsidDel="00000000" w:rsidR="00000000" w:rsidRPr="00000000">
        <w:rPr>
          <w:rtl w:val="0"/>
        </w:rPr>
        <w:t xml:space="preserve">However, it is Heidl’s very “evil” that inspires Kif: “I loathed Heidl yet I was now condemned to writing an entire book in his voice…. And I had to do it in a way that might keep them reading until the last page.” When the memoir finally arrives, Kif hates it: “I had not expected to hate it so much.”</w:t>
      </w:r>
    </w:p>
    <w:p w:rsidR="00000000" w:rsidDel="00000000" w:rsidP="00000000" w:rsidRDefault="00000000" w:rsidRPr="00000000" w14:paraId="0000005D">
      <w:pPr>
        <w:contextualSpacing w:val="0"/>
        <w:rPr/>
      </w:pPr>
      <w:r w:rsidDel="00000000" w:rsidR="00000000" w:rsidRPr="00000000">
        <w:rPr>
          <w:rtl w:val="0"/>
        </w:rPr>
      </w:r>
    </w:p>
    <w:p w:rsidR="00000000" w:rsidDel="00000000" w:rsidP="00000000" w:rsidRDefault="00000000" w:rsidRPr="00000000" w14:paraId="0000005E">
      <w:pPr>
        <w:contextualSpacing w:val="0"/>
        <w:rPr/>
      </w:pPr>
      <w:r w:rsidDel="00000000" w:rsidR="00000000" w:rsidRPr="00000000">
        <w:rPr>
          <w:rtl w:val="0"/>
        </w:rPr>
        <w:t xml:space="preserve">By the novel’s end, after a revelation by a friend who’d also worked for Heidl, Kif declares unexpectedly that “he was the closest thing to a man of genius I ever met.” By this time Kif has metamorphosed into a “mate” of the con man. (“It was as if a door I had been pushing on forever had unexpectedly opened and I was falling through it into a void on the other side.”) He has become corrupted himself, in his own eyes at least, having jettisoned his wife, given up on literature and made a success for himself as a purveyor of Australian trash TV: “I discovered in Australian television of the 1990s a lack of conviction even greater than my own.”</w:t>
      </w:r>
    </w:p>
    <w:p w:rsidR="00000000" w:rsidDel="00000000" w:rsidP="00000000" w:rsidRDefault="00000000" w:rsidRPr="00000000" w14:paraId="0000005F">
      <w:pPr>
        <w:contextualSpacing w:val="0"/>
        <w:rPr/>
      </w:pPr>
      <w:r w:rsidDel="00000000" w:rsidR="00000000" w:rsidRPr="00000000">
        <w:rPr>
          <w:rtl w:val="0"/>
        </w:rPr>
      </w:r>
    </w:p>
    <w:p w:rsidR="00000000" w:rsidDel="00000000" w:rsidP="00000000" w:rsidRDefault="00000000" w:rsidRPr="00000000" w14:paraId="00000060">
      <w:pPr>
        <w:contextualSpacing w:val="0"/>
        <w:rPr/>
      </w:pPr>
      <w:r w:rsidDel="00000000" w:rsidR="00000000" w:rsidRPr="00000000">
        <w:rPr>
          <w:rtl w:val="0"/>
        </w:rPr>
        <w:t xml:space="preserve">Still, epiphanies and aphorisms abound in First Person: gem-like remarks that float independent of narrative context. Naturally, all of them belong to Heidl:</w:t>
      </w:r>
    </w:p>
    <w:p w:rsidR="00000000" w:rsidDel="00000000" w:rsidP="00000000" w:rsidRDefault="00000000" w:rsidRPr="00000000" w14:paraId="00000061">
      <w:pPr>
        <w:contextualSpacing w:val="0"/>
        <w:rPr/>
      </w:pPr>
      <w:r w:rsidDel="00000000" w:rsidR="00000000" w:rsidRPr="00000000">
        <w:rPr>
          <w:rtl w:val="0"/>
        </w:rPr>
      </w:r>
    </w:p>
    <w:p w:rsidR="00000000" w:rsidDel="00000000" w:rsidP="00000000" w:rsidRDefault="00000000" w:rsidRPr="00000000" w14:paraId="00000062">
      <w:pPr>
        <w:contextualSpacing w:val="0"/>
        <w:rPr/>
      </w:pPr>
      <w:r w:rsidDel="00000000" w:rsidR="00000000" w:rsidRPr="00000000">
        <w:rPr>
          <w:rtl w:val="0"/>
        </w:rPr>
        <w:t xml:space="preserve">A life isn’t an onion to be peeled, a palimpsest to be scraped back to some original, truer meaning. It’s an invention that never ends.</w:t>
      </w:r>
    </w:p>
    <w:p w:rsidR="00000000" w:rsidDel="00000000" w:rsidP="00000000" w:rsidRDefault="00000000" w:rsidRPr="00000000" w14:paraId="00000063">
      <w:pPr>
        <w:contextualSpacing w:val="0"/>
        <w:rPr/>
      </w:pPr>
      <w:r w:rsidDel="00000000" w:rsidR="00000000" w:rsidRPr="00000000">
        <w:rPr>
          <w:rtl w:val="0"/>
        </w:rPr>
      </w:r>
    </w:p>
    <w:p w:rsidR="00000000" w:rsidDel="00000000" w:rsidP="00000000" w:rsidRDefault="00000000" w:rsidRPr="00000000" w14:paraId="00000064">
      <w:pPr>
        <w:contextualSpacing w:val="0"/>
        <w:rPr/>
      </w:pPr>
      <w:r w:rsidDel="00000000" w:rsidR="00000000" w:rsidRPr="00000000">
        <w:rPr>
          <w:rtl w:val="0"/>
        </w:rPr>
        <w:t xml:space="preserve">Any fool can endure being killed…. It’s enduring killing that takes something else.</w:t>
      </w:r>
    </w:p>
    <w:p w:rsidR="00000000" w:rsidDel="00000000" w:rsidP="00000000" w:rsidRDefault="00000000" w:rsidRPr="00000000" w14:paraId="00000065">
      <w:pPr>
        <w:contextualSpacing w:val="0"/>
        <w:rPr/>
      </w:pPr>
      <w:r w:rsidDel="00000000" w:rsidR="00000000" w:rsidRPr="00000000">
        <w:rPr>
          <w:rtl w:val="0"/>
        </w:rPr>
      </w:r>
    </w:p>
    <w:p w:rsidR="00000000" w:rsidDel="00000000" w:rsidP="00000000" w:rsidRDefault="00000000" w:rsidRPr="00000000" w14:paraId="00000066">
      <w:pPr>
        <w:contextualSpacing w:val="0"/>
        <w:rPr/>
      </w:pPr>
      <w:r w:rsidDel="00000000" w:rsidR="00000000" w:rsidRPr="00000000">
        <w:rPr>
          <w:rtl w:val="0"/>
        </w:rPr>
        <w:t xml:space="preserve">All human contact is a form of disappointment.</w:t>
      </w:r>
    </w:p>
    <w:p w:rsidR="00000000" w:rsidDel="00000000" w:rsidP="00000000" w:rsidRDefault="00000000" w:rsidRPr="00000000" w14:paraId="00000067">
      <w:pPr>
        <w:contextualSpacing w:val="0"/>
        <w:rPr/>
      </w:pPr>
      <w:r w:rsidDel="00000000" w:rsidR="00000000" w:rsidRPr="00000000">
        <w:rPr>
          <w:rtl w:val="0"/>
        </w:rPr>
      </w:r>
    </w:p>
    <w:p w:rsidR="00000000" w:rsidDel="00000000" w:rsidP="00000000" w:rsidRDefault="00000000" w:rsidRPr="00000000" w14:paraId="00000068">
      <w:pPr>
        <w:contextualSpacing w:val="0"/>
        <w:rPr/>
      </w:pPr>
      <w:r w:rsidDel="00000000" w:rsidR="00000000" w:rsidRPr="00000000">
        <w:rPr>
          <w:rtl w:val="0"/>
        </w:rPr>
        <w:t xml:space="preserve">Unexpected insights—if one can trust a con man:</w:t>
      </w:r>
    </w:p>
    <w:p w:rsidR="00000000" w:rsidDel="00000000" w:rsidP="00000000" w:rsidRDefault="00000000" w:rsidRPr="00000000" w14:paraId="00000069">
      <w:pPr>
        <w:contextualSpacing w:val="0"/>
        <w:rPr/>
      </w:pPr>
      <w:r w:rsidDel="00000000" w:rsidR="00000000" w:rsidRPr="00000000">
        <w:rPr>
          <w:rtl w:val="0"/>
        </w:rPr>
      </w:r>
    </w:p>
    <w:p w:rsidR="00000000" w:rsidDel="00000000" w:rsidP="00000000" w:rsidRDefault="00000000" w:rsidRPr="00000000" w14:paraId="0000006A">
      <w:pPr>
        <w:contextualSpacing w:val="0"/>
        <w:rPr/>
      </w:pPr>
      <w:r w:rsidDel="00000000" w:rsidR="00000000" w:rsidRPr="00000000">
        <w:rPr>
          <w:rtl w:val="0"/>
        </w:rPr>
        <w:t xml:space="preserve">I stole the sun…. Souls, I stole souls. I ate them whole and no one saw. I am eating the world. I am eating myself.</w:t>
      </w:r>
    </w:p>
    <w:p w:rsidR="00000000" w:rsidDel="00000000" w:rsidP="00000000" w:rsidRDefault="00000000" w:rsidRPr="00000000" w14:paraId="0000006B">
      <w:pPr>
        <w:contextualSpacing w:val="0"/>
        <w:rPr/>
      </w:pPr>
      <w:r w:rsidDel="00000000" w:rsidR="00000000" w:rsidRPr="00000000">
        <w:rPr>
          <w:rtl w:val="0"/>
        </w:rPr>
      </w:r>
    </w:p>
    <w:p w:rsidR="00000000" w:rsidDel="00000000" w:rsidP="00000000" w:rsidRDefault="00000000" w:rsidRPr="00000000" w14:paraId="0000006C">
      <w:pPr>
        <w:contextualSpacing w:val="0"/>
        <w:rPr/>
      </w:pPr>
      <w:r w:rsidDel="00000000" w:rsidR="00000000" w:rsidRPr="00000000">
        <w:rPr>
          <w:rtl w:val="0"/>
        </w:rPr>
        <w:t xml:space="preserve">When the ghostwriter asks, early on in their collaboration, what Heidl was like as a child, he responds disingenuously, “Child? I have no idea. I have been missing since I was born.” At last! After weeks of failure Kif believes he has found a way into his subject:</w:t>
      </w:r>
    </w:p>
    <w:p w:rsidR="00000000" w:rsidDel="00000000" w:rsidP="00000000" w:rsidRDefault="00000000" w:rsidRPr="00000000" w14:paraId="0000006D">
      <w:pPr>
        <w:contextualSpacing w:val="0"/>
        <w:rPr/>
      </w:pPr>
      <w:r w:rsidDel="00000000" w:rsidR="00000000" w:rsidRPr="00000000">
        <w:rPr>
          <w:rtl w:val="0"/>
        </w:rPr>
      </w:r>
    </w:p>
    <w:p w:rsidR="00000000" w:rsidDel="00000000" w:rsidP="00000000" w:rsidRDefault="00000000" w:rsidRPr="00000000" w14:paraId="0000006E">
      <w:pPr>
        <w:contextualSpacing w:val="0"/>
        <w:rPr/>
      </w:pPr>
      <w:r w:rsidDel="00000000" w:rsidR="00000000" w:rsidRPr="00000000">
        <w:rPr>
          <w:rtl w:val="0"/>
        </w:rPr>
        <w:t xml:space="preserve">I stared at that line. And then I cut it from the end of my document, scrolled upwards, and pasted it at the top, immediately below Chapter 1….</w:t>
      </w:r>
    </w:p>
    <w:p w:rsidR="00000000" w:rsidDel="00000000" w:rsidP="00000000" w:rsidRDefault="00000000" w:rsidRPr="00000000" w14:paraId="0000006F">
      <w:pPr>
        <w:contextualSpacing w:val="0"/>
        <w:rPr/>
      </w:pPr>
      <w:r w:rsidDel="00000000" w:rsidR="00000000" w:rsidRPr="00000000">
        <w:rPr>
          <w:rtl w:val="0"/>
        </w:rPr>
      </w:r>
    </w:p>
    <w:p w:rsidR="00000000" w:rsidDel="00000000" w:rsidP="00000000" w:rsidRDefault="00000000" w:rsidRPr="00000000" w14:paraId="00000070">
      <w:pPr>
        <w:contextualSpacing w:val="0"/>
        <w:rPr/>
      </w:pPr>
      <w:r w:rsidDel="00000000" w:rsidR="00000000" w:rsidRPr="00000000">
        <w:rPr>
          <w:rtl w:val="0"/>
        </w:rPr>
        <w:t xml:space="preserve">I erased everything I had previously written. Realising I had both the opening line and possibly the key I needed to the entire book, I began typing…. And in this way I began writing the true story of Siegfried Heidl, Australia’s most notorious con man.</w:t>
      </w:r>
    </w:p>
    <w:p w:rsidR="00000000" w:rsidDel="00000000" w:rsidP="00000000" w:rsidRDefault="00000000" w:rsidRPr="00000000" w14:paraId="00000071">
      <w:pPr>
        <w:contextualSpacing w:val="0"/>
        <w:rPr/>
      </w:pPr>
      <w:r w:rsidDel="00000000" w:rsidR="00000000" w:rsidRPr="00000000">
        <w:rPr>
          <w:rtl w:val="0"/>
        </w:rPr>
      </w:r>
    </w:p>
    <w:p w:rsidR="00000000" w:rsidDel="00000000" w:rsidP="00000000" w:rsidRDefault="00000000" w:rsidRPr="00000000" w14:paraId="00000072">
      <w:pPr>
        <w:contextualSpacing w:val="0"/>
        <w:rPr/>
      </w:pPr>
      <w:r w:rsidDel="00000000" w:rsidR="00000000" w:rsidRPr="00000000">
        <w:rPr>
          <w:rtl w:val="0"/>
        </w:rPr>
        <w:t xml:space="preserve">But First Person is a kind of twenty-first-century Picture of Dorian Gray—there is no true story to be discovered by the naive young writer. All is a mirage, contagion. To collaborate with evil is to invite corruption. For an artist it’s an old, perhaps the oldest cautionary tale, which ends with a damning epiphany for one who has sold his soul: “No one had told me I was dead.” First Person is a curious interlude of sorts—a rueful confession by a “Richard Flanagan” of an alternative universe in which the author’s distinguished career does not exist because he had not the integrity to withstand the temptations to which Kif succumbs.</w:t>
      </w:r>
    </w:p>
    <w:p w:rsidR="00000000" w:rsidDel="00000000" w:rsidP="00000000" w:rsidRDefault="00000000" w:rsidRPr="00000000" w14:paraId="00000073">
      <w:pPr>
        <w:contextualSpacing w:val="0"/>
        <w:rPr/>
      </w:pPr>
      <w:r w:rsidDel="00000000" w:rsidR="00000000" w:rsidRPr="00000000">
        <w:rPr>
          <w:rtl w:val="0"/>
        </w:rPr>
      </w:r>
    </w:p>
    <w:p w:rsidR="00000000" w:rsidDel="00000000" w:rsidP="00000000" w:rsidRDefault="00000000" w:rsidRPr="00000000" w14:paraId="00000074">
      <w:pPr>
        <w:contextualSpacing w:val="0"/>
        <w:rPr/>
      </w:pPr>
      <w:r w:rsidDel="00000000" w:rsidR="00000000" w:rsidRPr="00000000">
        <w:rPr>
          <w:rtl w:val="0"/>
        </w:rPr>
        <w:t xml:space="preserve">Cabrini Blues</w:t>
      </w:r>
    </w:p>
    <w:p w:rsidR="00000000" w:rsidDel="00000000" w:rsidP="00000000" w:rsidRDefault="00000000" w:rsidRPr="00000000" w14:paraId="00000075">
      <w:pPr>
        <w:contextualSpacing w:val="0"/>
        <w:rPr/>
      </w:pPr>
      <w:r w:rsidDel="00000000" w:rsidR="00000000" w:rsidRPr="00000000">
        <w:rPr>
          <w:rtl w:val="0"/>
        </w:rPr>
        <w:t xml:space="preserve">Reinier de Graaf SEPTEMBER 27, 2018 ISSUE</w:t>
      </w:r>
    </w:p>
    <w:p w:rsidR="00000000" w:rsidDel="00000000" w:rsidP="00000000" w:rsidRDefault="00000000" w:rsidRPr="00000000" w14:paraId="00000076">
      <w:pPr>
        <w:contextualSpacing w:val="0"/>
        <w:rPr/>
      </w:pPr>
      <w:r w:rsidDel="00000000" w:rsidR="00000000" w:rsidRPr="00000000">
        <w:rPr>
          <w:rtl w:val="0"/>
        </w:rPr>
        <w:t xml:space="preserve">Landscapes of Hope: Nature and the Great Migration in Chicago</w:t>
      </w:r>
    </w:p>
    <w:p w:rsidR="00000000" w:rsidDel="00000000" w:rsidP="00000000" w:rsidRDefault="00000000" w:rsidRPr="00000000" w14:paraId="00000077">
      <w:pPr>
        <w:contextualSpacing w:val="0"/>
        <w:rPr/>
      </w:pPr>
      <w:r w:rsidDel="00000000" w:rsidR="00000000" w:rsidRPr="00000000">
        <w:rPr>
          <w:rtl w:val="0"/>
        </w:rPr>
        <w:t xml:space="preserve">by Brian McCammack</w:t>
      </w:r>
    </w:p>
    <w:p w:rsidR="00000000" w:rsidDel="00000000" w:rsidP="00000000" w:rsidRDefault="00000000" w:rsidRPr="00000000" w14:paraId="00000078">
      <w:pPr>
        <w:contextualSpacing w:val="0"/>
        <w:rPr/>
      </w:pPr>
      <w:r w:rsidDel="00000000" w:rsidR="00000000" w:rsidRPr="00000000">
        <w:rPr>
          <w:rtl w:val="0"/>
        </w:rPr>
        <w:t xml:space="preserve">Harvard University Press, 364 pp., $49.95</w:t>
      </w:r>
    </w:p>
    <w:p w:rsidR="00000000" w:rsidDel="00000000" w:rsidP="00000000" w:rsidRDefault="00000000" w:rsidRPr="00000000" w14:paraId="00000079">
      <w:pPr>
        <w:contextualSpacing w:val="0"/>
        <w:rPr/>
      </w:pPr>
      <w:r w:rsidDel="00000000" w:rsidR="00000000" w:rsidRPr="00000000">
        <w:rPr>
          <w:rtl w:val="0"/>
        </w:rPr>
        <w:t xml:space="preserve">High-Risers: Cabrini-Green and the Fate of American Public Housing</w:t>
      </w:r>
    </w:p>
    <w:p w:rsidR="00000000" w:rsidDel="00000000" w:rsidP="00000000" w:rsidRDefault="00000000" w:rsidRPr="00000000" w14:paraId="0000007A">
      <w:pPr>
        <w:contextualSpacing w:val="0"/>
        <w:rPr/>
      </w:pPr>
      <w:r w:rsidDel="00000000" w:rsidR="00000000" w:rsidRPr="00000000">
        <w:rPr>
          <w:rtl w:val="0"/>
        </w:rPr>
        <w:t xml:space="preserve">by Ben Austen</w:t>
      </w:r>
    </w:p>
    <w:p w:rsidR="00000000" w:rsidDel="00000000" w:rsidP="00000000" w:rsidRDefault="00000000" w:rsidRPr="00000000" w14:paraId="0000007B">
      <w:pPr>
        <w:contextualSpacing w:val="0"/>
        <w:rPr/>
      </w:pPr>
      <w:r w:rsidDel="00000000" w:rsidR="00000000" w:rsidRPr="00000000">
        <w:rPr>
          <w:rtl w:val="0"/>
        </w:rPr>
        <w:t xml:space="preserve">Harper, 384 pp., $27.99</w:t>
      </w:r>
    </w:p>
    <w:p w:rsidR="00000000" w:rsidDel="00000000" w:rsidP="00000000" w:rsidRDefault="00000000" w:rsidRPr="00000000" w14:paraId="0000007C">
      <w:pPr>
        <w:contextualSpacing w:val="0"/>
        <w:rPr/>
      </w:pPr>
      <w:r w:rsidDel="00000000" w:rsidR="00000000" w:rsidRPr="00000000">
        <w:rPr>
          <w:rtl w:val="0"/>
        </w:rPr>
      </w:r>
    </w:p>
    <w:p w:rsidR="00000000" w:rsidDel="00000000" w:rsidP="00000000" w:rsidRDefault="00000000" w:rsidRPr="00000000" w14:paraId="0000007D">
      <w:pPr>
        <w:contextualSpacing w:val="0"/>
        <w:rPr/>
      </w:pPr>
      <w:r w:rsidDel="00000000" w:rsidR="00000000" w:rsidRPr="00000000">
        <w:rPr>
          <w:rtl w:val="0"/>
        </w:rPr>
        <w:t xml:space="preserve">Marc PoKempner</w:t>
      </w:r>
    </w:p>
    <w:p w:rsidR="00000000" w:rsidDel="00000000" w:rsidP="00000000" w:rsidRDefault="00000000" w:rsidRPr="00000000" w14:paraId="0000007E">
      <w:pPr>
        <w:contextualSpacing w:val="0"/>
        <w:rPr/>
      </w:pPr>
      <w:r w:rsidDel="00000000" w:rsidR="00000000" w:rsidRPr="00000000">
        <w:rPr>
          <w:rtl w:val="0"/>
        </w:rPr>
        <w:t xml:space="preserve">Dancing at a house party, Cabrini-Green, Chicago, 1988; photograph by Marc PoKempner from the ‘Changing Chicago’ documentary project</w:t>
      </w:r>
    </w:p>
    <w:p w:rsidR="00000000" w:rsidDel="00000000" w:rsidP="00000000" w:rsidRDefault="00000000" w:rsidRPr="00000000" w14:paraId="0000007F">
      <w:pPr>
        <w:contextualSpacing w:val="0"/>
        <w:rPr/>
      </w:pPr>
      <w:r w:rsidDel="00000000" w:rsidR="00000000" w:rsidRPr="00000000">
        <w:rPr>
          <w:rtl w:val="0"/>
        </w:rPr>
        <w:t xml:space="preserve">If public housing is the physical manifestation of a hope for social progress, that hope has its own historical twist in the United States. After the abolition of slavery in 1865, white Americans, faced with the prospect of living with African-Americans, opted for segregation. In the southern United States segregation was not only de facto but also de jure. Jim Crow laws, passed by local governments as early as the 1870s and 1880s, mandated the segregation of public facilities, education, and transportation.</w:t>
      </w:r>
    </w:p>
    <w:p w:rsidR="00000000" w:rsidDel="00000000" w:rsidP="00000000" w:rsidRDefault="00000000" w:rsidRPr="00000000" w14:paraId="00000080">
      <w:pPr>
        <w:contextualSpacing w:val="0"/>
        <w:rPr/>
      </w:pPr>
      <w:r w:rsidDel="00000000" w:rsidR="00000000" w:rsidRPr="00000000">
        <w:rPr>
          <w:rtl w:val="0"/>
        </w:rPr>
      </w:r>
    </w:p>
    <w:p w:rsidR="00000000" w:rsidDel="00000000" w:rsidP="00000000" w:rsidRDefault="00000000" w:rsidRPr="00000000" w14:paraId="00000081">
      <w:pPr>
        <w:contextualSpacing w:val="0"/>
        <w:rPr/>
      </w:pPr>
      <w:r w:rsidDel="00000000" w:rsidR="00000000" w:rsidRPr="00000000">
        <w:rPr>
          <w:rtl w:val="0"/>
        </w:rPr>
        <w:t xml:space="preserve">When it came to housing, segregation was enforced through racially restrictive covenants—binding legal obligations written into the deed of a property by the seller that barred African-Americans (and other minorities) from buying, leasing, or using it. The practice was common in both the southern and northern United States. Ironically, it was the National Housing Act of 1934—part of President Franklin D. Roosevelt’s New Deal—that established housing segregation throughout the country. The newly created Federal Housing Administration’s Underwriting Manual expressly identifies “an incompatible racial element” within neighborhoods as a liability and recommends that the social and racial structure of neighborhoods be maintained by restrictions on eligibility for mortgages. It wasn’t until the Fair Housing Act of 1968 that such practices were abandoned and housing segregation was definitively banned.*</w:t>
      </w:r>
    </w:p>
    <w:p w:rsidR="00000000" w:rsidDel="00000000" w:rsidP="00000000" w:rsidRDefault="00000000" w:rsidRPr="00000000" w14:paraId="00000082">
      <w:pPr>
        <w:contextualSpacing w:val="0"/>
        <w:rPr/>
      </w:pPr>
      <w:r w:rsidDel="00000000" w:rsidR="00000000" w:rsidRPr="00000000">
        <w:rPr>
          <w:rtl w:val="0"/>
        </w:rPr>
      </w:r>
    </w:p>
    <w:p w:rsidR="00000000" w:rsidDel="00000000" w:rsidP="00000000" w:rsidRDefault="00000000" w:rsidRPr="00000000" w14:paraId="00000083">
      <w:pPr>
        <w:contextualSpacing w:val="0"/>
        <w:rPr/>
      </w:pPr>
      <w:r w:rsidDel="00000000" w:rsidR="00000000" w:rsidRPr="00000000">
        <w:rPr>
          <w:rtl w:val="0"/>
        </w:rPr>
        <w:t xml:space="preserve">De facto racial segregation in American cities has continued, however, especially in public housing. Nine of the ten most racially segregated American cities are all located in the North, the “Land of Hope” during the Great Migration of African-Americans from the South between 1915 and 1970. In 2010, the list was topped by Chicago, where a history of racially restrictive covenants had pushed African-Americans almost entirely to what became known as the “Black Belt,” on the city’s South Side. This segregation was reinforced by the public housing program implemented by the Chicago Housing Authority (CHA), established in 1937. Before World War II, the agency built four projects, of which one was for blacks: the Ida B. Wells Homes, located in Bronzeville, the social center of the Black Belt. Consisting of 1,662 units in a mix of row houses and apartment buildings occupying several city blocks, the Ida B. Wells Homes were the largest public housing project in Chicago at the time, incorporating the existing Madden Park, where the inhabitants of the crowded Black Belt had been enjoying a variety of sports, open-air movies, and musical programs.</w:t>
      </w:r>
    </w:p>
    <w:p w:rsidR="00000000" w:rsidDel="00000000" w:rsidP="00000000" w:rsidRDefault="00000000" w:rsidRPr="00000000" w14:paraId="00000084">
      <w:pPr>
        <w:contextualSpacing w:val="0"/>
        <w:rPr/>
      </w:pPr>
      <w:r w:rsidDel="00000000" w:rsidR="00000000" w:rsidRPr="00000000">
        <w:rPr>
          <w:rtl w:val="0"/>
        </w:rPr>
      </w:r>
    </w:p>
    <w:p w:rsidR="00000000" w:rsidDel="00000000" w:rsidP="00000000" w:rsidRDefault="00000000" w:rsidRPr="00000000" w14:paraId="00000085">
      <w:pPr>
        <w:contextualSpacing w:val="0"/>
        <w:rPr/>
      </w:pPr>
      <w:r w:rsidDel="00000000" w:rsidR="00000000" w:rsidRPr="00000000">
        <w:rPr>
          <w:rtl w:val="0"/>
        </w:rPr>
        <w:t xml:space="preserve">The way nature helped African-Americans endure the segregated spaces they inhabited in and around Chicago forms the subject of Brian McCammack’s Landscapes of Hope. The book covers the period between 1915 and 1940, the first phase of the Great Migration, which for African-Americans in the North marked “the transition away from rural agricultural economies and toward modern industrial economies.” If in the South nature was associated with labor, for the inhabitants of the crowded tenements in Chicago, nature increasingly became a source of leisure in city parks, beaches, and rural areas nearby—in resorts, forest preserves, and youth camps. On the one hand it reminded African-Americans of their homes in the South—despite the hardships they endured there, the landscapes and climate they left behind were missed by many—while on the other hand it provided “a complement to modern urban conditions,” McCammack concludes.</w:t>
      </w:r>
    </w:p>
    <w:p w:rsidR="00000000" w:rsidDel="00000000" w:rsidP="00000000" w:rsidRDefault="00000000" w:rsidRPr="00000000" w14:paraId="00000086">
      <w:pPr>
        <w:contextualSpacing w:val="0"/>
        <w:rPr/>
      </w:pPr>
      <w:r w:rsidDel="00000000" w:rsidR="00000000" w:rsidRPr="00000000">
        <w:rPr>
          <w:rtl w:val="0"/>
        </w:rPr>
      </w:r>
    </w:p>
    <w:p w:rsidR="00000000" w:rsidDel="00000000" w:rsidP="00000000" w:rsidRDefault="00000000" w:rsidRPr="00000000" w14:paraId="00000087">
      <w:pPr>
        <w:contextualSpacing w:val="0"/>
        <w:rPr/>
      </w:pPr>
      <w:r w:rsidDel="00000000" w:rsidR="00000000" w:rsidRPr="00000000">
        <w:rPr>
          <w:rtl w:val="0"/>
        </w:rPr>
        <w:t xml:space="preserve">Perhaps the most representative “landscape of hope” in McCammack’s book is Chicago’s Washington Park. Designed by Frederick Law Olmsted and Calvert Vaux and covering one square mile, the park was completed in 1881 in a neighborhood of German and Irish immigrants working in the stockyards and the railroads. In the late 1910s the upsurge in the construction of cheap apartments north of the park attracted many African-Americans, and by the 1920s they became its primary users, with Sunday picnics, boating, baseball, and tennis in summertime, and skating on the frozen lagoon in the winter.</w:t>
      </w:r>
    </w:p>
    <w:p w:rsidR="00000000" w:rsidDel="00000000" w:rsidP="00000000" w:rsidRDefault="00000000" w:rsidRPr="00000000" w14:paraId="00000088">
      <w:pPr>
        <w:contextualSpacing w:val="0"/>
        <w:rPr/>
      </w:pPr>
      <w:r w:rsidDel="00000000" w:rsidR="00000000" w:rsidRPr="00000000">
        <w:rPr>
          <w:rtl w:val="0"/>
        </w:rPr>
      </w:r>
    </w:p>
    <w:p w:rsidR="00000000" w:rsidDel="00000000" w:rsidP="00000000" w:rsidRDefault="00000000" w:rsidRPr="00000000" w14:paraId="00000089">
      <w:pPr>
        <w:contextualSpacing w:val="0"/>
        <w:rPr/>
      </w:pPr>
      <w:r w:rsidDel="00000000" w:rsidR="00000000" w:rsidRPr="00000000">
        <w:rPr>
          <w:rtl w:val="0"/>
        </w:rPr>
        <w:t xml:space="preserve">However, their increasing presence in Washington Park was met with hostility and often violence by whites, as McCammack explains:</w:t>
      </w:r>
    </w:p>
    <w:p w:rsidR="00000000" w:rsidDel="00000000" w:rsidP="00000000" w:rsidRDefault="00000000" w:rsidRPr="00000000" w14:paraId="0000008A">
      <w:pPr>
        <w:contextualSpacing w:val="0"/>
        <w:rPr/>
      </w:pPr>
      <w:r w:rsidDel="00000000" w:rsidR="00000000" w:rsidRPr="00000000">
        <w:rPr>
          <w:rtl w:val="0"/>
        </w:rPr>
      </w:r>
    </w:p>
    <w:p w:rsidR="00000000" w:rsidDel="00000000" w:rsidP="00000000" w:rsidRDefault="00000000" w:rsidRPr="00000000" w14:paraId="0000008B">
      <w:pPr>
        <w:contextualSpacing w:val="0"/>
        <w:rPr/>
      </w:pPr>
      <w:r w:rsidDel="00000000" w:rsidR="00000000" w:rsidRPr="00000000">
        <w:rPr>
          <w:rtl w:val="0"/>
        </w:rPr>
        <w:t xml:space="preserve">It was most often African Americans, not whites, who stood to be beaten or raped by gangs of young white men…; even couples simply sitting on park benches together were targeted, victims of racist whites who resented the park’s racial transition in the Great Migration era.</w:t>
      </w:r>
    </w:p>
    <w:p w:rsidR="00000000" w:rsidDel="00000000" w:rsidP="00000000" w:rsidRDefault="00000000" w:rsidRPr="00000000" w14:paraId="0000008C">
      <w:pPr>
        <w:contextualSpacing w:val="0"/>
        <w:rPr/>
      </w:pPr>
      <w:r w:rsidDel="00000000" w:rsidR="00000000" w:rsidRPr="00000000">
        <w:rPr>
          <w:rtl w:val="0"/>
        </w:rPr>
      </w:r>
    </w:p>
    <w:p w:rsidR="00000000" w:rsidDel="00000000" w:rsidP="00000000" w:rsidRDefault="00000000" w:rsidRPr="00000000" w14:paraId="0000008D">
      <w:pPr>
        <w:contextualSpacing w:val="0"/>
        <w:rPr/>
      </w:pPr>
      <w:r w:rsidDel="00000000" w:rsidR="00000000" w:rsidRPr="00000000">
        <w:rPr>
          <w:rtl w:val="0"/>
        </w:rPr>
        <w:t xml:space="preserve">He also cites The Chicago Defender—the most important newspaper advocating African-American rights at the time—which reported on attacks carried out by “young hoodlums.” Public space—this time the beach at Lake Michigan—was also the scene of violence in 1919. The killing of a seventeen-year-old boy for trespassing the imaginary line that divided blacks and whites at the beach sparked a race riot that lasted five days and resulted in thirty-eight deaths (twenty-three blacks and fifteen whites) and five hundred people injured.</w:t>
      </w:r>
    </w:p>
    <w:p w:rsidR="00000000" w:rsidDel="00000000" w:rsidP="00000000" w:rsidRDefault="00000000" w:rsidRPr="00000000" w14:paraId="0000008E">
      <w:pPr>
        <w:contextualSpacing w:val="0"/>
        <w:rPr/>
      </w:pPr>
      <w:r w:rsidDel="00000000" w:rsidR="00000000" w:rsidRPr="00000000">
        <w:rPr>
          <w:rtl w:val="0"/>
        </w:rPr>
      </w:r>
    </w:p>
    <w:p w:rsidR="00000000" w:rsidDel="00000000" w:rsidP="00000000" w:rsidRDefault="00000000" w:rsidRPr="00000000" w14:paraId="0000008F">
      <w:pPr>
        <w:contextualSpacing w:val="0"/>
        <w:rPr/>
      </w:pPr>
      <w:r w:rsidDel="00000000" w:rsidR="00000000" w:rsidRPr="00000000">
        <w:rPr>
          <w:rtl w:val="0"/>
        </w:rPr>
        <w:t xml:space="preserve">Washington Park was not only an interracial battleground but also a place of intraracial confrontations. The behavior of African-Americans in public was often the subject of criticism from reformers in the black elite. The same Defender that advocated African-Americans’ rights also disapproved of “open-air performances of minstrelsy” in Washington Park and public baptism in Lake Michigan—practices from southern culture that were considered embarrassing in the North. The Defender targeted Washington Park in particular for its Sunday School Baseball League games, ruined by “disgraceful and unchristian fight[s],” and tennis played by postal workers and dining-car waiters wearing their uniform or no top shirt. “Tennis is strictly a gentleman’s game,” proclaimed an editorial in 1922, and “no gentleman of any breeding will appear on any tennis court without a top shirt.”</w:t>
      </w:r>
    </w:p>
    <w:p w:rsidR="00000000" w:rsidDel="00000000" w:rsidP="00000000" w:rsidRDefault="00000000" w:rsidRPr="00000000" w14:paraId="00000090">
      <w:pPr>
        <w:contextualSpacing w:val="0"/>
        <w:rPr/>
      </w:pPr>
      <w:r w:rsidDel="00000000" w:rsidR="00000000" w:rsidRPr="00000000">
        <w:rPr>
          <w:rtl w:val="0"/>
        </w:rPr>
      </w:r>
    </w:p>
    <w:p w:rsidR="00000000" w:rsidDel="00000000" w:rsidP="00000000" w:rsidRDefault="00000000" w:rsidRPr="00000000" w14:paraId="00000091">
      <w:pPr>
        <w:contextualSpacing w:val="0"/>
        <w:rPr/>
      </w:pPr>
      <w:r w:rsidDel="00000000" w:rsidR="00000000" w:rsidRPr="00000000">
        <w:rPr>
          <w:rtl w:val="0"/>
        </w:rPr>
        <w:t xml:space="preserve">By 1929, when the Great Depression started, Washington Park was used exclusively by the black community. On an August day in 1930, 12,000 people gathered there for an enormous picnic and parade to celebrate Bud Billiken, a fictional character standing for the pride and optimism of the black community, who had been created in 1921 by Robert S. Abbott, the founder and publisher of the Defender. It was no coincidence, McCammack points out, that this event was initiated at a time when the black elite looked to maintain the cohesion of the community, which had been severely hit by the onset of the Depression. African-Americans were often the first to be laid off from their jobs, since most of them worked in industries vulnerable to the economic crisis. They lost even the jobs that were traditionally given to African-Americans, such as porter, elevator operator, and janitor, so that by 1932 the unemployment rate of African-Americans had reached 50 percent, while for whites it was 30 percent. This also affected the black upper classes, whose businesses depended on the earnings of the black lower classes. By the end of the month that the first Bud Billiken parade took place, all the banks in the Black Belt were closed.</w:t>
      </w:r>
    </w:p>
    <w:p w:rsidR="00000000" w:rsidDel="00000000" w:rsidP="00000000" w:rsidRDefault="00000000" w:rsidRPr="00000000" w14:paraId="00000092">
      <w:pPr>
        <w:contextualSpacing w:val="0"/>
        <w:rPr/>
      </w:pPr>
      <w:r w:rsidDel="00000000" w:rsidR="00000000" w:rsidRPr="00000000">
        <w:rPr>
          <w:rtl w:val="0"/>
        </w:rPr>
      </w:r>
    </w:p>
    <w:p w:rsidR="00000000" w:rsidDel="00000000" w:rsidP="00000000" w:rsidRDefault="00000000" w:rsidRPr="00000000" w14:paraId="00000093">
      <w:pPr>
        <w:contextualSpacing w:val="0"/>
        <w:rPr/>
      </w:pPr>
      <w:r w:rsidDel="00000000" w:rsidR="00000000" w:rsidRPr="00000000">
        <w:rPr>
          <w:rtl w:val="0"/>
        </w:rPr>
        <w:t xml:space="preserve">During this tumultuous decade the African-American working class could count on little support in defending its rights. One voice that did protest against the evictions of unemployed African-Americans who could no longer pay their rent was that of the Communist Party of the United States, established in Chicago in 1919. Even though black Chicagoans counted for a small share of the total members in the city (412 at its peak in 1931), the party sympathized with African-Americans, seeing them as “true proletarians, associated with essential heavy industry.” For their rallies, which could mobilize tens of thousands of people, the party also chose Washington Park. At a time when few black Chicagoans could afford to spend money on entertainment, Washington Park was the most prominent free public space for people of color. “What had been violently contested racial space during the Great Migration had become virtually uncontested African American space during the Great Depression,” writes McCammack.</w:t>
      </w:r>
    </w:p>
    <w:p w:rsidR="00000000" w:rsidDel="00000000" w:rsidP="00000000" w:rsidRDefault="00000000" w:rsidRPr="00000000" w14:paraId="00000094">
      <w:pPr>
        <w:contextualSpacing w:val="0"/>
        <w:rPr/>
      </w:pPr>
      <w:r w:rsidDel="00000000" w:rsidR="00000000" w:rsidRPr="00000000">
        <w:rPr>
          <w:rtl w:val="0"/>
        </w:rPr>
      </w:r>
    </w:p>
    <w:p w:rsidR="00000000" w:rsidDel="00000000" w:rsidP="00000000" w:rsidRDefault="00000000" w:rsidRPr="00000000" w14:paraId="00000095">
      <w:pPr>
        <w:contextualSpacing w:val="0"/>
        <w:rPr/>
      </w:pPr>
      <w:r w:rsidDel="00000000" w:rsidR="00000000" w:rsidRPr="00000000">
        <w:rPr>
          <w:rtl w:val="0"/>
        </w:rPr>
        <w:t xml:space="preserve">Another “landscape of hope” that thrived because of segregation was Idlewild, the resort established in 1916 in Michigan by a group of white developers—two of them former members of the Ku Klux Klan—looking to attract the African-American upper class. Affluent African-Americans had the means and the desire to travel for leisure, but the white resorts around Chicago were as inaccessible to them as they were to the African-American working class. Black entrepreneurs founded black resorts on the East Coast starting in the 1890s; their popularity, McCammack suggests, inspired white developers to create Idlewild.</w:t>
      </w:r>
    </w:p>
    <w:p w:rsidR="00000000" w:rsidDel="00000000" w:rsidP="00000000" w:rsidRDefault="00000000" w:rsidRPr="00000000" w14:paraId="00000096">
      <w:pPr>
        <w:contextualSpacing w:val="0"/>
        <w:rPr/>
      </w:pPr>
      <w:r w:rsidDel="00000000" w:rsidR="00000000" w:rsidRPr="00000000">
        <w:rPr>
          <w:rtl w:val="0"/>
        </w:rPr>
      </w:r>
    </w:p>
    <w:p w:rsidR="00000000" w:rsidDel="00000000" w:rsidP="00000000" w:rsidRDefault="00000000" w:rsidRPr="00000000" w14:paraId="00000097">
      <w:pPr>
        <w:contextualSpacing w:val="0"/>
        <w:rPr/>
      </w:pPr>
      <w:r w:rsidDel="00000000" w:rsidR="00000000" w:rsidRPr="00000000">
        <w:rPr>
          <w:rtl w:val="0"/>
        </w:rPr>
      </w:r>
    </w:p>
    <w:p w:rsidR="00000000" w:rsidDel="00000000" w:rsidP="00000000" w:rsidRDefault="00000000" w:rsidRPr="00000000" w14:paraId="00000098">
      <w:pPr>
        <w:contextualSpacing w:val="0"/>
        <w:rPr/>
      </w:pPr>
      <w:r w:rsidDel="00000000" w:rsidR="00000000" w:rsidRPr="00000000">
        <w:rPr>
          <w:rtl w:val="0"/>
        </w:rPr>
        <w:t xml:space="preserve">John H. White</w:t>
      </w:r>
    </w:p>
    <w:p w:rsidR="00000000" w:rsidDel="00000000" w:rsidP="00000000" w:rsidRDefault="00000000" w:rsidRPr="00000000" w14:paraId="00000099">
      <w:pPr>
        <w:contextualSpacing w:val="0"/>
        <w:rPr/>
      </w:pPr>
      <w:r w:rsidDel="00000000" w:rsidR="00000000" w:rsidRPr="00000000">
        <w:rPr>
          <w:rtl w:val="0"/>
        </w:rPr>
        <w:t xml:space="preserve">Harvey and Michael Reynolds with their younger brother in their Cabrini-Green apartment after their seven-year-old friend Dantrell Davis was killed by a sniper as he walked to school, 1992</w:t>
      </w:r>
    </w:p>
    <w:p w:rsidR="00000000" w:rsidDel="00000000" w:rsidP="00000000" w:rsidRDefault="00000000" w:rsidRPr="00000000" w14:paraId="0000009A">
      <w:pPr>
        <w:contextualSpacing w:val="0"/>
        <w:rPr/>
      </w:pPr>
      <w:r w:rsidDel="00000000" w:rsidR="00000000" w:rsidRPr="00000000">
        <w:rPr>
          <w:rtl w:val="0"/>
        </w:rPr>
        <w:t xml:space="preserve">Within a decade of its opening, thousands of plots were sold and hundreds of vacation homes were built by visitors from Chicago and the entire Midwest. Most of the Chicago black elite were among the buyers: Jesse Binga, the founder of the most important bank serving blacks in Chicago; J.C. Austin, the leader of the Pilgrim Baptist Church; Oscar de Priest, Chicago’s first black alderman; and Robert Abbott, the publisher of the Defender. Yet to the vast majority of African-Americans Idlewild remained an inaccessible “landscape of hope.” McCammack’s book ends in 1940, so he does not mention that after segregation was banned by the Civil Rights Act of 1964 Idlewild’s clientele moved to resorts previously frequented by whites, leaving America’s “Black Eden” to sink into decay.</w:t>
      </w:r>
    </w:p>
    <w:p w:rsidR="00000000" w:rsidDel="00000000" w:rsidP="00000000" w:rsidRDefault="00000000" w:rsidRPr="00000000" w14:paraId="0000009B">
      <w:pPr>
        <w:contextualSpacing w:val="0"/>
        <w:rPr/>
      </w:pPr>
      <w:r w:rsidDel="00000000" w:rsidR="00000000" w:rsidRPr="00000000">
        <w:rPr>
          <w:rtl w:val="0"/>
        </w:rPr>
      </w:r>
    </w:p>
    <w:p w:rsidR="00000000" w:rsidDel="00000000" w:rsidP="00000000" w:rsidRDefault="00000000" w:rsidRPr="00000000" w14:paraId="0000009C">
      <w:pPr>
        <w:contextualSpacing w:val="0"/>
        <w:rPr/>
      </w:pPr>
      <w:r w:rsidDel="00000000" w:rsidR="00000000" w:rsidRPr="00000000">
        <w:rPr>
          <w:rtl w:val="0"/>
        </w:rPr>
        <w:t xml:space="preserve">If Landscapes of Hope alludes to the effect of segregation on galvanizing the black community, Ben Austen’s High-Risers: Cabrini-Green and the Fate of American Public Housing highlights its corrosive effect and the demise of public housing. How did places welcomed with such enthusiasm by their initial inhabitants turn into the most emblematic examples of gang violence in the United States? How was it that despite this stigma, Cabrini-Green survived until 2011, when it was finally torn down?</w:t>
      </w:r>
    </w:p>
    <w:p w:rsidR="00000000" w:rsidDel="00000000" w:rsidP="00000000" w:rsidRDefault="00000000" w:rsidRPr="00000000" w14:paraId="0000009D">
      <w:pPr>
        <w:contextualSpacing w:val="0"/>
        <w:rPr/>
      </w:pPr>
      <w:r w:rsidDel="00000000" w:rsidR="00000000" w:rsidRPr="00000000">
        <w:rPr>
          <w:rtl w:val="0"/>
        </w:rPr>
      </w:r>
    </w:p>
    <w:p w:rsidR="00000000" w:rsidDel="00000000" w:rsidP="00000000" w:rsidRDefault="00000000" w:rsidRPr="00000000" w14:paraId="0000009E">
      <w:pPr>
        <w:contextualSpacing w:val="0"/>
        <w:rPr/>
      </w:pPr>
      <w:r w:rsidDel="00000000" w:rsidR="00000000" w:rsidRPr="00000000">
        <w:rPr>
          <w:rtl w:val="0"/>
        </w:rPr>
        <w:t xml:space="preserve">The first phase of the project was completed in 1942, one year after the United States entered World War II, and consisted of 586 units divided into fifty-four two- and three-story row houses, named after an Italian-American nun, Francesca Cabrini, the first American to be canonized. The project replaced the notoriously violent Little Hell, a neighborhood on Chicago’s Near North Side where the Italian and Irish mafias were born, and was meant to house mostly whites (75 percent). More homes were built after the war: in 1958, the Cabrini Homes Extension was completed (1,925 units), followed by the Green Homes in 1962 (1,096 units), named to honor William Green, a prominent Chicago union leader.</w:t>
      </w:r>
    </w:p>
    <w:p w:rsidR="00000000" w:rsidDel="00000000" w:rsidP="00000000" w:rsidRDefault="00000000" w:rsidRPr="00000000" w14:paraId="0000009F">
      <w:pPr>
        <w:contextualSpacing w:val="0"/>
        <w:rPr/>
      </w:pPr>
      <w:r w:rsidDel="00000000" w:rsidR="00000000" w:rsidRPr="00000000">
        <w:rPr>
          <w:rtl w:val="0"/>
        </w:rPr>
      </w:r>
    </w:p>
    <w:p w:rsidR="00000000" w:rsidDel="00000000" w:rsidP="00000000" w:rsidRDefault="00000000" w:rsidRPr="00000000" w14:paraId="000000A0">
      <w:pPr>
        <w:contextualSpacing w:val="0"/>
        <w:rPr/>
      </w:pPr>
      <w:r w:rsidDel="00000000" w:rsidR="00000000" w:rsidRPr="00000000">
        <w:rPr>
          <w:rtl w:val="0"/>
        </w:rPr>
        <w:t xml:space="preserve">Based on the modernist urban design popular at the time, the two postwar projects were towers in a park. For the Cabrini Homes Extension, sixteen towers of a maximum of nine and sixteen stories were proposed. Due to budget cuts, fifteen towers of seven, ten, and nineteen stories were built instead. To reduce costs even more, they had a nearly identical design: red bricks framed by an exposed white concrete structure, which earned them the nickname “the Reds.” The project was praised for using only 13 percent of the site, leaving the rest for plazas and lawns. The Green Homes added eight more towers of fifteen and sixteen stories, finished with beige concrete sectionals and exposed concrete frames. They came to be known as “the Whites.” The three-, four-, and five-bedroom apartments, equipped with a refrigerator, stove, and hot and cold water, were a far cry from the crowded tenements they replaced, which had shared toilets and no running water or electricity.</w:t>
      </w:r>
    </w:p>
    <w:p w:rsidR="00000000" w:rsidDel="00000000" w:rsidP="00000000" w:rsidRDefault="00000000" w:rsidRPr="00000000" w14:paraId="000000A1">
      <w:pPr>
        <w:contextualSpacing w:val="0"/>
        <w:rPr/>
      </w:pPr>
      <w:r w:rsidDel="00000000" w:rsidR="00000000" w:rsidRPr="00000000">
        <w:rPr>
          <w:rtl w:val="0"/>
        </w:rPr>
      </w:r>
    </w:p>
    <w:p w:rsidR="00000000" w:rsidDel="00000000" w:rsidP="00000000" w:rsidRDefault="00000000" w:rsidRPr="00000000" w14:paraId="000000A2">
      <w:pPr>
        <w:contextualSpacing w:val="0"/>
        <w:rPr/>
      </w:pPr>
      <w:r w:rsidDel="00000000" w:rsidR="00000000" w:rsidRPr="00000000">
        <w:rPr>
          <w:rtl w:val="0"/>
        </w:rPr>
        <w:t xml:space="preserve">With the improvement of living conditions, the city also hoped to eradicate the crime that was plaguing the slums. But despite the city’s expectations, crime returned to the former Little Hell area. Much of the blame has been attributed to the architecture of the buildings themselves. Their sheer height coupled with poor maintenance proved a recipe for disaster. Staircases with no direct light turned dark as soon as light bulbs broke or were stolen. Corridors were filled with litter when garbage chutes got clogged. Elevators shut down after children climbed on top of the cars. Top-floor apartments suffered from leakage from the poorly constructed flat roofs. And from the safety of the top floors, gang-affiliated snipers shot randomly at passersby, including police officers.</w:t>
      </w:r>
    </w:p>
    <w:p w:rsidR="00000000" w:rsidDel="00000000" w:rsidP="00000000" w:rsidRDefault="00000000" w:rsidRPr="00000000" w14:paraId="000000A3">
      <w:pPr>
        <w:contextualSpacing w:val="0"/>
        <w:rPr/>
      </w:pPr>
      <w:r w:rsidDel="00000000" w:rsidR="00000000" w:rsidRPr="00000000">
        <w:rPr>
          <w:rtl w:val="0"/>
        </w:rPr>
      </w:r>
    </w:p>
    <w:p w:rsidR="00000000" w:rsidDel="00000000" w:rsidP="00000000" w:rsidRDefault="00000000" w:rsidRPr="00000000" w14:paraId="000000A4">
      <w:pPr>
        <w:contextualSpacing w:val="0"/>
        <w:rPr/>
      </w:pPr>
      <w:r w:rsidDel="00000000" w:rsidR="00000000" w:rsidRPr="00000000">
        <w:rPr>
          <w:rtl w:val="0"/>
        </w:rPr>
        <w:t xml:space="preserve">Still, in the end the problem was social. When the Cabrini Homes were completed, the complex’s residents were 80 percent white and 20 percent black. The white families that lived there were uncomfortable in a mixed community and asked the CHA to group and segregate the African-American renters inside the complex. Even the local priest Luigi Giambastiani (who had suggested that the public housing complex be named after Mother Francesca Cabrini) expressed his indignation that white and black people had to live together: “This is being resented by all and I must add, in order to be candid with you, that I don’t like it either.”</w:t>
      </w:r>
    </w:p>
    <w:p w:rsidR="00000000" w:rsidDel="00000000" w:rsidP="00000000" w:rsidRDefault="00000000" w:rsidRPr="00000000" w14:paraId="000000A5">
      <w:pPr>
        <w:contextualSpacing w:val="0"/>
        <w:rPr/>
      </w:pPr>
      <w:r w:rsidDel="00000000" w:rsidR="00000000" w:rsidRPr="00000000">
        <w:rPr>
          <w:rtl w:val="0"/>
        </w:rPr>
      </w:r>
    </w:p>
    <w:p w:rsidR="00000000" w:rsidDel="00000000" w:rsidP="00000000" w:rsidRDefault="00000000" w:rsidRPr="00000000" w14:paraId="000000A6">
      <w:pPr>
        <w:contextualSpacing w:val="0"/>
        <w:rPr/>
      </w:pPr>
      <w:r w:rsidDel="00000000" w:rsidR="00000000" w:rsidRPr="00000000">
        <w:rPr>
          <w:rtl w:val="0"/>
        </w:rPr>
        <w:t xml:space="preserve">After the Cabrini Homes Extension was built, the demographics of the complex reversed: it became 80 percent black and 20 percent white. Since African-American families were generally poorer, they had priority in receiving an apartment at Cabrini-Green. White families left at the first opportunity. Like Washington Park, Cabrini-Green became an area exclusively for African-Americans, segregated from the white parts of the city. The fact that single parents were eligible for benefits caused the men to live away from their families and move back to the South Side in search of work, leaving women to take care of children (often more than ten) on their own. For men who had jobs and stayed with their families, rents were increased to the point that they could no longer afford to live in public housing. In the late 1960s, out of the 20,000 people that lived at Cabrini-Green, 14,000 were under seventeen. Soon their outdoor games were turning into violent territorial disputes, while some joined gangs. The decaying Cabrini-Green towers reflected the reality of public housing throughout Chicago but not the entire country, since, as Austen points out, three quarters of the public housing stock in the United States was not high-rise.</w:t>
      </w:r>
    </w:p>
    <w:p w:rsidR="00000000" w:rsidDel="00000000" w:rsidP="00000000" w:rsidRDefault="00000000" w:rsidRPr="00000000" w14:paraId="000000A7">
      <w:pPr>
        <w:contextualSpacing w:val="0"/>
        <w:rPr/>
      </w:pPr>
      <w:r w:rsidDel="00000000" w:rsidR="00000000" w:rsidRPr="00000000">
        <w:rPr>
          <w:rtl w:val="0"/>
        </w:rPr>
      </w:r>
    </w:p>
    <w:p w:rsidR="00000000" w:rsidDel="00000000" w:rsidP="00000000" w:rsidRDefault="00000000" w:rsidRPr="00000000" w14:paraId="000000A8">
      <w:pPr>
        <w:contextualSpacing w:val="0"/>
        <w:rPr/>
      </w:pPr>
      <w:r w:rsidDel="00000000" w:rsidR="00000000" w:rsidRPr="00000000">
        <w:rPr>
          <w:rtl w:val="0"/>
        </w:rPr>
        <w:t xml:space="preserve">The story of Cabrini-Green is very much like that of the infamous Pruitt-Igoe projects in St. Louis, which also declined into poverty and crime. So why did it take so long for it to be torn down, as Pruitt-Igoe had been in the early 1970s? “The idea of demolishing Cabrini-Green seemed like a political as well as a practical impossibility,” Austen explains. Chicago’s officials could not find a way to house its 15,000 poor black residents. Instead, the city poured money into hasty renovations, then declared them successful by tweaking statistics about crime and employment. Again, lack of maintenance made these efforts futile. With the complex fought over by Chicago’s most feared gangs—the Black Disciples and the Gangster Disciples, the Vice Lords, and the Cobra Stones—crossing the space between the towers became a game of Russian roulette. “A thousand windows rising up, and in any one of them a heedless seventeen-year-old with a rifle could smudge you out as he would an ant,” writes Austen.</w:t>
      </w:r>
    </w:p>
    <w:p w:rsidR="00000000" w:rsidDel="00000000" w:rsidP="00000000" w:rsidRDefault="00000000" w:rsidRPr="00000000" w14:paraId="000000A9">
      <w:pPr>
        <w:contextualSpacing w:val="0"/>
        <w:rPr/>
      </w:pPr>
      <w:r w:rsidDel="00000000" w:rsidR="00000000" w:rsidRPr="00000000">
        <w:rPr>
          <w:rtl w:val="0"/>
        </w:rPr>
      </w:r>
    </w:p>
    <w:p w:rsidR="00000000" w:rsidDel="00000000" w:rsidP="00000000" w:rsidRDefault="00000000" w:rsidRPr="00000000" w14:paraId="000000AA">
      <w:pPr>
        <w:contextualSpacing w:val="0"/>
        <w:rPr/>
      </w:pPr>
      <w:r w:rsidDel="00000000" w:rsidR="00000000" w:rsidRPr="00000000">
        <w:rPr>
          <w:rtl w:val="0"/>
        </w:rPr>
        <w:t xml:space="preserve">Elderly tenants moved out of Cabrini-Green and poorer tenants, often ex-convicts, came instead. By the 1970s three quarters of the households were on welfare and had a single parent. Without any job prospects nearby and confined to the complex by the police, they were often left with the choice of either consuming or selling drugs—a curious kind of circular economy. Time and again, police were sent in to sweep the buildings in search of guns and drugs. “We have to have a war here, and we have to go after them the same way they go after innocent people,” declared Richard M. Daley, the longest-serving Chicago mayor, after seven-year-old Dantrell Davis was shot dead in front of his school. But guns and drugs would always make their way back to Cabrini-Green, and with every raid fewer were confiscated. As with the renovations, the raids exhausted the CHA’s budget. One single sweep, Austen estimates, cost up to $175,000.</w:t>
      </w:r>
    </w:p>
    <w:p w:rsidR="00000000" w:rsidDel="00000000" w:rsidP="00000000" w:rsidRDefault="00000000" w:rsidRPr="00000000" w14:paraId="000000AB">
      <w:pPr>
        <w:contextualSpacing w:val="0"/>
        <w:rPr/>
      </w:pPr>
      <w:r w:rsidDel="00000000" w:rsidR="00000000" w:rsidRPr="00000000">
        <w:rPr>
          <w:rtl w:val="0"/>
        </w:rPr>
      </w:r>
    </w:p>
    <w:p w:rsidR="00000000" w:rsidDel="00000000" w:rsidP="00000000" w:rsidRDefault="00000000" w:rsidRPr="00000000" w14:paraId="000000AC">
      <w:pPr>
        <w:contextualSpacing w:val="0"/>
        <w:rPr/>
      </w:pPr>
      <w:r w:rsidDel="00000000" w:rsidR="00000000" w:rsidRPr="00000000">
        <w:rPr>
          <w:rtl w:val="0"/>
        </w:rPr>
        <w:t xml:space="preserve">Still, Austen contends that life at Cabrini-Green wasn’t as gloomy as the press made Americans believe. Despite the crime, some apparently loved living there: adults, because they could rely on their neighbors and had their family around; teenagers, because they could socialize freely and make easy money (from illegal activities). Austen’s book is full of such stories. We read about Dolores Wilson, mother of five, who started a pen-pal program for prison inmates and coordinated a residents’ initiative to rehabilitate and manage their tower, all while working full-time at the city water department. We read about Annie Ricks, mother of thirteen, who walked seven miles through snow on a December morning to Cabrini-Green and didn’t leave until she got an apartment. Twenty-one years later, also on a cold December day, Annie was the final resident to leave Cabrini-Green. We read about J.R. Fleming, an African-American who grew up in the suburbs and moved to Cabrini-Green to escape white persecution. Giving up the prospect of becoming a football player, he survived by bootlegging Chicago Bulls T-shirts and music, eventually becoming an anti- eviction activist.</w:t>
      </w:r>
    </w:p>
    <w:p w:rsidR="00000000" w:rsidDel="00000000" w:rsidP="00000000" w:rsidRDefault="00000000" w:rsidRPr="00000000" w14:paraId="000000AD">
      <w:pPr>
        <w:contextualSpacing w:val="0"/>
        <w:rPr/>
      </w:pPr>
      <w:r w:rsidDel="00000000" w:rsidR="00000000" w:rsidRPr="00000000">
        <w:rPr>
          <w:rtl w:val="0"/>
        </w:rPr>
      </w:r>
    </w:p>
    <w:p w:rsidR="00000000" w:rsidDel="00000000" w:rsidP="00000000" w:rsidRDefault="00000000" w:rsidRPr="00000000" w14:paraId="000000AE">
      <w:pPr>
        <w:contextualSpacing w:val="0"/>
        <w:rPr/>
      </w:pPr>
      <w:r w:rsidDel="00000000" w:rsidR="00000000" w:rsidRPr="00000000">
        <w:rPr>
          <w:rtl w:val="0"/>
        </w:rPr>
        <w:t xml:space="preserve">These people hardly made the headlines. Instead, Cabrini-Green was used as a textbook case of the welfare state’s failings. In calls for the elimination of public housing and arguments for the cure-all power of the market economy, it was conveniently overlooked that only a quarter of public housing in the United States was in the problem-prone high-rises. Cabrini-Green’s fate was eventually sealed during the Clinton administration. Its high-rises were to be replaced with “human-scale” mixed-income developments like those in other cities. A win-win situation, supposedly: the influx of more affluent residents to the new buildings would break the concentration of poverty, while the publicly assisted residents would benefit from better-quality housing. Situated near the city center—unlike other public housing complexes built later—Cabrini-Green’s land was a not-to-be-missed opportunity for real estate investment. The two thirds of the former inhabitants who had to be relocated would get vouchers to help them rent market-rate housing.</w:t>
      </w:r>
    </w:p>
    <w:p w:rsidR="00000000" w:rsidDel="00000000" w:rsidP="00000000" w:rsidRDefault="00000000" w:rsidRPr="00000000" w14:paraId="000000AF">
      <w:pPr>
        <w:contextualSpacing w:val="0"/>
        <w:rPr/>
      </w:pPr>
      <w:r w:rsidDel="00000000" w:rsidR="00000000" w:rsidRPr="00000000">
        <w:rPr>
          <w:rtl w:val="0"/>
        </w:rPr>
      </w:r>
    </w:p>
    <w:p w:rsidR="00000000" w:rsidDel="00000000" w:rsidP="00000000" w:rsidRDefault="00000000" w:rsidRPr="00000000" w14:paraId="000000B0">
      <w:pPr>
        <w:contextualSpacing w:val="0"/>
        <w:rPr/>
      </w:pPr>
      <w:r w:rsidDel="00000000" w:rsidR="00000000" w:rsidRPr="00000000">
        <w:rPr>
          <w:rtl w:val="0"/>
        </w:rPr>
        <w:t xml:space="preserve">Reality quickly demystified the blessings of the mixed-income development approach. For the “lucky” public housing families who moved to the new mixed-income development, life was far from easy. The project, named Parkside of Old Town, covered eighteen of the former seventy acres of Cabrini-Green and comprised 30 percent public housing, 20 percent affordable housing, and 50 percent market-price housing. Construction was planned in two phases. In 2006, two years before completion, the developer sold 70 percent of the market-price housing units, with condos starting at $300,000 and townhouses at $500,000. With the money from the presales, the developer built the entire first phase at once. Some people bought more than one apartment, hoping to make a profit from resale.</w:t>
      </w:r>
    </w:p>
    <w:p w:rsidR="00000000" w:rsidDel="00000000" w:rsidP="00000000" w:rsidRDefault="00000000" w:rsidRPr="00000000" w14:paraId="000000B1">
      <w:pPr>
        <w:contextualSpacing w:val="0"/>
        <w:rPr/>
      </w:pPr>
      <w:r w:rsidDel="00000000" w:rsidR="00000000" w:rsidRPr="00000000">
        <w:rPr>
          <w:rtl w:val="0"/>
        </w:rPr>
      </w:r>
    </w:p>
    <w:p w:rsidR="00000000" w:rsidDel="00000000" w:rsidP="00000000" w:rsidRDefault="00000000" w:rsidRPr="00000000" w14:paraId="000000B2">
      <w:pPr>
        <w:contextualSpacing w:val="0"/>
        <w:rPr/>
      </w:pPr>
      <w:r w:rsidDel="00000000" w:rsidR="00000000" w:rsidRPr="00000000">
        <w:rPr>
          <w:rtl w:val="0"/>
        </w:rPr>
        <w:t xml:space="preserve">Then came the 2008 financial crisis. “Stuck with their bum mortgages…the owners came to resent the people who were ‘living for free’ beside them in nearly identical apartments,” Austen explains. Worried that their properties would depreciate even more, the owners (who could form owner associations, while the public housing families could not form tenant councils) adopted all sorts of regulations, going as far as to propose prohibiting pajamas in public spaces and banning garden gnomes. The CHA had its restrictions, too. If one member of a family ran into trouble with the police (even if not convicted), the entire family could be evicted. “You had to choose between your daughter who was caught smoking weed and a roof over your head,” Austen writes.</w:t>
      </w:r>
    </w:p>
    <w:p w:rsidR="00000000" w:rsidDel="00000000" w:rsidP="00000000" w:rsidRDefault="00000000" w:rsidRPr="00000000" w14:paraId="000000B3">
      <w:pPr>
        <w:contextualSpacing w:val="0"/>
        <w:rPr/>
      </w:pPr>
      <w:r w:rsidDel="00000000" w:rsidR="00000000" w:rsidRPr="00000000">
        <w:rPr>
          <w:rtl w:val="0"/>
        </w:rPr>
      </w:r>
    </w:p>
    <w:p w:rsidR="00000000" w:rsidDel="00000000" w:rsidP="00000000" w:rsidRDefault="00000000" w:rsidRPr="00000000" w14:paraId="000000B4">
      <w:pPr>
        <w:contextualSpacing w:val="0"/>
        <w:rPr/>
      </w:pPr>
      <w:r w:rsidDel="00000000" w:rsidR="00000000" w:rsidRPr="00000000">
        <w:rPr>
          <w:rtl w:val="0"/>
        </w:rPr>
        <w:t xml:space="preserve">Most relocated families ended up in areas that were predominantly African-American and overwhelmingly poor, such as the South Shore, which accommodated more relocated families than any other neighborhood in the city. There they faced extreme hostility from the locals, who blamed them for the soaring crime rates throughout the city. In 2012, one year after the last Cabrini-Green tower was demolished, Chicago experienced the highest murder rate in the country (higher than New York and Los Angeles combined) and the highest in the city since the 1990s, when sentences for violent crimes were almost doubled by the Violent Crime Control and Law Enforcement Act of 1994. The relocations, Austen writes, “didn’t so much break up concentrations of poverty as move them elsewhere, making them less visible to the rest of the city.” Thomas Sullivan, a former US attorney monitoring the CHA’s Plan of Transformation, said, “The vertical ghettoes from which the families are being moved are being replaced with horizontal ghettoes.”</w:t>
      </w:r>
    </w:p>
    <w:p w:rsidR="00000000" w:rsidDel="00000000" w:rsidP="00000000" w:rsidRDefault="00000000" w:rsidRPr="00000000" w14:paraId="000000B5">
      <w:pPr>
        <w:contextualSpacing w:val="0"/>
        <w:rPr/>
      </w:pPr>
      <w:r w:rsidDel="00000000" w:rsidR="00000000" w:rsidRPr="00000000">
        <w:rPr>
          <w:rtl w:val="0"/>
        </w:rPr>
      </w:r>
    </w:p>
    <w:p w:rsidR="00000000" w:rsidDel="00000000" w:rsidP="00000000" w:rsidRDefault="00000000" w:rsidRPr="00000000" w14:paraId="000000B6">
      <w:pPr>
        <w:contextualSpacing w:val="0"/>
        <w:rPr/>
      </w:pPr>
      <w:r w:rsidDel="00000000" w:rsidR="00000000" w:rsidRPr="00000000">
        <w:rPr>
          <w:rtl w:val="0"/>
        </w:rPr>
        <w:t xml:space="preserve">High-Risers is in almost every respect the opposite of Landscapes of Hope. The passages about Cabrini-Green residents, interspersed among chapters about the history of the projects, take the reader into the drama of life in African-American communities. Unlike McCammack, whose book is exclusively based on diligent archival research (out of 350 pages, one hundred are endnotes), Austen combines archival work with empirical research. The hundreds of hours he spent interviewing the residents of Cabrini-Green often give his prose the depth of a novel.</w:t>
      </w:r>
    </w:p>
    <w:p w:rsidR="00000000" w:rsidDel="00000000" w:rsidP="00000000" w:rsidRDefault="00000000" w:rsidRPr="00000000" w14:paraId="000000B7">
      <w:pPr>
        <w:contextualSpacing w:val="0"/>
        <w:rPr/>
      </w:pPr>
      <w:r w:rsidDel="00000000" w:rsidR="00000000" w:rsidRPr="00000000">
        <w:rPr>
          <w:rtl w:val="0"/>
        </w:rPr>
      </w:r>
    </w:p>
    <w:p w:rsidR="00000000" w:rsidDel="00000000" w:rsidP="00000000" w:rsidRDefault="00000000" w:rsidRPr="00000000" w14:paraId="000000B8">
      <w:pPr>
        <w:contextualSpacing w:val="0"/>
        <w:rPr/>
      </w:pPr>
      <w:r w:rsidDel="00000000" w:rsidR="00000000" w:rsidRPr="00000000">
        <w:rPr>
          <w:rtl w:val="0"/>
        </w:rPr>
        <w:t xml:space="preserve">The story of Cabrini-Green makes one aware of a curious paradox. What applies to the optimistic creation of Cabrini-Green applies every bit as much to its demolition: both serve as uncomfortable reminders that the dream of equality—even fifty years after the civil rights movement—is far from available to all Americans.</w:t>
      </w:r>
    </w:p>
    <w:p w:rsidR="00000000" w:rsidDel="00000000" w:rsidP="00000000" w:rsidRDefault="00000000" w:rsidRPr="00000000" w14:paraId="000000B9">
      <w:pPr>
        <w:contextualSpacing w:val="0"/>
        <w:rPr/>
      </w:pPr>
      <w:r w:rsidDel="00000000" w:rsidR="00000000" w:rsidRPr="00000000">
        <w:rPr>
          <w:rtl w:val="0"/>
        </w:rPr>
      </w:r>
    </w:p>
    <w:p w:rsidR="00000000" w:rsidDel="00000000" w:rsidP="00000000" w:rsidRDefault="00000000" w:rsidRPr="00000000" w14:paraId="000000BA">
      <w:pPr>
        <w:contextualSpacing w:val="0"/>
        <w:rPr/>
      </w:pPr>
      <w:r w:rsidDel="00000000" w:rsidR="00000000" w:rsidRPr="00000000">
        <w:rPr>
          <w:rtl w:val="0"/>
        </w:rPr>
        <w:t xml:space="preserve">*</w:t>
      </w:r>
    </w:p>
    <w:p w:rsidR="00000000" w:rsidDel="00000000" w:rsidP="00000000" w:rsidRDefault="00000000" w:rsidRPr="00000000" w14:paraId="000000BB">
      <w:pPr>
        <w:contextualSpacing w:val="0"/>
        <w:rPr/>
      </w:pPr>
      <w:r w:rsidDel="00000000" w:rsidR="00000000" w:rsidRPr="00000000">
        <w:rPr>
          <w:rFonts w:ascii="Arial Unicode MS" w:cs="Arial Unicode MS" w:eastAsia="Arial Unicode MS" w:hAnsi="Arial Unicode MS"/>
          <w:rtl w:val="0"/>
        </w:rPr>
        <w:t xml:space="preserve">For more on de facto and de jure housing segregation, see Jason DeParle’s review of Richard Rothstein’s The Color of Law: A Forgotten History of How Our Government Segregated America (Liveright, 2017) in these pages, February 22, 2018. ↩</w:t>
      </w:r>
    </w:p>
    <w:p w:rsidR="00000000" w:rsidDel="00000000" w:rsidP="00000000" w:rsidRDefault="00000000" w:rsidRPr="00000000" w14:paraId="000000BC">
      <w:pPr>
        <w:contextualSpacing w:val="0"/>
        <w:rPr/>
      </w:pPr>
      <w:r w:rsidDel="00000000" w:rsidR="00000000" w:rsidRPr="00000000">
        <w:rPr>
          <w:rtl w:val="0"/>
        </w:rPr>
      </w:r>
    </w:p>
    <w:p w:rsidR="00000000" w:rsidDel="00000000" w:rsidP="00000000" w:rsidRDefault="00000000" w:rsidRPr="00000000" w14:paraId="000000BD">
      <w:pPr>
        <w:contextualSpacing w:val="0"/>
        <w:rPr/>
      </w:pPr>
      <w:r w:rsidDel="00000000" w:rsidR="00000000" w:rsidRPr="00000000">
        <w:rPr>
          <w:rtl w:val="0"/>
        </w:rPr>
      </w:r>
    </w:p>
    <w:p w:rsidR="00000000" w:rsidDel="00000000" w:rsidP="00000000" w:rsidRDefault="00000000" w:rsidRPr="00000000" w14:paraId="000000BE">
      <w:pPr>
        <w:contextualSpacing w:val="0"/>
        <w:rPr/>
      </w:pPr>
      <w:r w:rsidDel="00000000" w:rsidR="00000000" w:rsidRPr="00000000">
        <w:rPr>
          <w:rtl w:val="0"/>
        </w:rPr>
      </w:r>
    </w:p>
    <w:p w:rsidR="00000000" w:rsidDel="00000000" w:rsidP="00000000" w:rsidRDefault="00000000" w:rsidRPr="00000000" w14:paraId="000000BF">
      <w:pPr>
        <w:contextualSpacing w:val="0"/>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