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April 29,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Sunday, April 29 the Today’s Issues will discuss two articles from the April 19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24, “Clement Atlee: The Man Who Made Modern Britain”</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Page 44, “Judging Shaw: The Radicalism of GBS”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group meets in the parlor of the Religious Education buildings next to the church at 9:30 on Sunday mornings.  Please do the reading and join our lively discussion.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 copy of the readings follows: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The Mouse That Roared</w:t>
      </w:r>
    </w:p>
    <w:p w:rsidR="00000000" w:rsidDel="00000000" w:rsidP="00000000" w:rsidRDefault="00000000" w:rsidRPr="00000000" w14:paraId="0000000D">
      <w:pPr>
        <w:contextualSpacing w:val="0"/>
        <w:rPr/>
      </w:pPr>
      <w:r w:rsidDel="00000000" w:rsidR="00000000" w:rsidRPr="00000000">
        <w:rPr>
          <w:rtl w:val="0"/>
        </w:rPr>
        <w:t xml:space="preserve">Ferdinand Mount APRIL 19, 2018 ISSUE</w:t>
      </w:r>
    </w:p>
    <w:p w:rsidR="00000000" w:rsidDel="00000000" w:rsidP="00000000" w:rsidRDefault="00000000" w:rsidRPr="00000000" w14:paraId="0000000E">
      <w:pPr>
        <w:contextualSpacing w:val="0"/>
        <w:rPr/>
      </w:pPr>
      <w:r w:rsidDel="00000000" w:rsidR="00000000" w:rsidRPr="00000000">
        <w:rPr>
          <w:rtl w:val="0"/>
        </w:rPr>
        <w:t xml:space="preserve">Clement Attlee: The Man Who Made Modern Britain</w:t>
      </w:r>
    </w:p>
    <w:p w:rsidR="00000000" w:rsidDel="00000000" w:rsidP="00000000" w:rsidRDefault="00000000" w:rsidRPr="00000000" w14:paraId="0000000F">
      <w:pPr>
        <w:contextualSpacing w:val="0"/>
        <w:rPr/>
      </w:pPr>
      <w:r w:rsidDel="00000000" w:rsidR="00000000" w:rsidRPr="00000000">
        <w:rPr>
          <w:rtl w:val="0"/>
        </w:rPr>
        <w:t xml:space="preserve">by John Bew</w:t>
      </w:r>
    </w:p>
    <w:p w:rsidR="00000000" w:rsidDel="00000000" w:rsidP="00000000" w:rsidRDefault="00000000" w:rsidRPr="00000000" w14:paraId="00000010">
      <w:pPr>
        <w:contextualSpacing w:val="0"/>
        <w:rPr/>
      </w:pPr>
      <w:r w:rsidDel="00000000" w:rsidR="00000000" w:rsidRPr="00000000">
        <w:rPr>
          <w:rtl w:val="0"/>
        </w:rPr>
        <w:t xml:space="preserve">Oxford University Press, 670 pp., $39.95</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Heirs of W. Eugene Smith/Black Star/LACMA</w:t>
      </w:r>
    </w:p>
    <w:p w:rsidR="00000000" w:rsidDel="00000000" w:rsidP="00000000" w:rsidRDefault="00000000" w:rsidRPr="00000000" w14:paraId="00000013">
      <w:pPr>
        <w:contextualSpacing w:val="0"/>
        <w:rPr/>
      </w:pPr>
      <w:r w:rsidDel="00000000" w:rsidR="00000000" w:rsidRPr="00000000">
        <w:rPr>
          <w:rtl w:val="0"/>
        </w:rPr>
        <w:t xml:space="preserve">British Prime Minister Clement Attlee watching election returns, 1950;</w:t>
      </w:r>
    </w:p>
    <w:p w:rsidR="00000000" w:rsidDel="00000000" w:rsidP="00000000" w:rsidRDefault="00000000" w:rsidRPr="00000000" w14:paraId="00000014">
      <w:pPr>
        <w:contextualSpacing w:val="0"/>
        <w:rPr/>
      </w:pPr>
      <w:r w:rsidDel="00000000" w:rsidR="00000000" w:rsidRPr="00000000">
        <w:rPr>
          <w:rtl w:val="0"/>
        </w:rPr>
        <w:t xml:space="preserve">photograph by W. Eugene Smith</w:t>
      </w:r>
    </w:p>
    <w:p w:rsidR="00000000" w:rsidDel="00000000" w:rsidP="00000000" w:rsidRDefault="00000000" w:rsidRPr="00000000" w14:paraId="00000015">
      <w:pPr>
        <w:contextualSpacing w:val="0"/>
        <w:rPr/>
      </w:pPr>
      <w:r w:rsidDel="00000000" w:rsidR="00000000" w:rsidRPr="00000000">
        <w:rPr>
          <w:rtl w:val="0"/>
        </w:rPr>
        <w:t xml:space="preserve">Was any public figure ever so conspicuous for being inconspicuous? “An empty taxi drove up to Number 10 and Mr. Attlee got out.” I think this was the first political joke I ever laughed at; I must have been nine or ten at the time. It was attributed to Winston Churchill, but it dates back to the nineteenth century when it was applied to Sarah Bernhardt, though for her thinness, not her dimness. “Mr. Attlee is a modest little man with plenty to be modest about.” Churchill did say something along these lines, though in one form or another that too is an ancient insult. A “sheep in sheep’s clothing” was also attributed to Churchill, though in fact it was Malcolm Muggeridge who said it.</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Nor were Clement Attlee’s Labour Party colleagues any more complimentary. Hugh Dalton, who was briefly to be his chancellor of the exchequer, recorded in his diary when Attlee became party leader, “And a little mouse shall lead them!”; on other occasions he referred to him as “poor little Rabbit.” There was something about Clem that inspired comparisons from the animal kingdom. As he announced victory in North Africa in 1943, one of the turning points in World War II, Harold Nicolson thought he was “like a little snipe pecking at a wooden cage.” In 1945, after he had been deputy prime minister for three years and was about to become prime minister for the next six, he was lampooned in the leftist weekly Tribune as “The Invisible Man”:</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There is no doubt whatever that Attlee exists</w:t>
      </w:r>
    </w:p>
    <w:p w:rsidR="00000000" w:rsidDel="00000000" w:rsidP="00000000" w:rsidRDefault="00000000" w:rsidRPr="00000000" w14:paraId="0000001A">
      <w:pPr>
        <w:contextualSpacing w:val="0"/>
        <w:rPr/>
      </w:pPr>
      <w:r w:rsidDel="00000000" w:rsidR="00000000" w:rsidRPr="00000000">
        <w:rPr>
          <w:rtl w:val="0"/>
        </w:rPr>
        <w:t xml:space="preserve">(Once head of HM Opposition)</w:t>
      </w:r>
    </w:p>
    <w:p w:rsidR="00000000" w:rsidDel="00000000" w:rsidP="00000000" w:rsidRDefault="00000000" w:rsidRPr="00000000" w14:paraId="0000001B">
      <w:pPr>
        <w:contextualSpacing w:val="0"/>
        <w:rPr/>
      </w:pPr>
      <w:r w:rsidDel="00000000" w:rsidR="00000000" w:rsidRPr="00000000">
        <w:rPr>
          <w:rtl w:val="0"/>
        </w:rPr>
        <w:t xml:space="preserve">But in Government circles the rumour persists</w:t>
      </w:r>
    </w:p>
    <w:p w:rsidR="00000000" w:rsidDel="00000000" w:rsidP="00000000" w:rsidRDefault="00000000" w:rsidRPr="00000000" w14:paraId="0000001C">
      <w:pPr>
        <w:contextualSpacing w:val="0"/>
        <w:rPr/>
      </w:pPr>
      <w:r w:rsidDel="00000000" w:rsidR="00000000" w:rsidRPr="00000000">
        <w:rPr>
          <w:rtl w:val="0"/>
        </w:rPr>
        <w:t xml:space="preserve">That Attlee’s a mere apparition.</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Only the deeply loyal Ernest Bevin, the trade union leader who became Britain’s most memorable postwar foreign secretary, really respected him. The rest of the vain and envious crew—Hugh Dalton, Herbert Morrison, Stafford Cripps, Aneurin Bevan—never thought he was up to the job of leading them, which he did for twenty years, surviving four direct challenges with barely a twitch of his little mouse’s whiskers.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In some of these dismissals there was a barely concealed snobbery. Bevan deplored Attlee’s “suburban middle class values.” Isaiah Berlin did not care for his “minor public school morality.” Beatrice Webb said that “he looked and spoke like an insignificant elderly clerk.” Attlee himself shrugged off these putdowns. He was not in the least ashamed of where he came from or who he was. “I am a very diffident man,” he gladly conceded. “I find it very hard to carry on conversation.” When journalists like Nicolson implored him to build up his public image, he demurred, insisting on his privacy. In any case, “I should be a sad subject for any publicity expert.”</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He could make Calvin Coolidge look like a chatterbox. At the Labour Party conference in Margate in 1953, he ate breakfast, lunch, and dinner alone every day. In interviews, he was famously laconic. He once answered twenty-eight questions in five minutes. When a distraught minister asked him why he was being sacked, Attlee replied curtly: “Not up to it.” When Morrison wrote him a weasely letter announcing his intention to run against him for the party leadership in 1945, Attlee replied, “Thank you for your letter, the contents of which have been noted.”</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Yet he was not without a sly self-regard. In old age, he could not resist sending a limerick to his beloved older brother Tom:</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Few thought he was even a starter</w:t>
      </w:r>
    </w:p>
    <w:p w:rsidR="00000000" w:rsidDel="00000000" w:rsidP="00000000" w:rsidRDefault="00000000" w:rsidRPr="00000000" w14:paraId="00000027">
      <w:pPr>
        <w:contextualSpacing w:val="0"/>
        <w:rPr/>
      </w:pPr>
      <w:r w:rsidDel="00000000" w:rsidR="00000000" w:rsidRPr="00000000">
        <w:rPr>
          <w:rtl w:val="0"/>
        </w:rPr>
        <w:t xml:space="preserve">There were those who thought themselves smarter</w:t>
      </w:r>
    </w:p>
    <w:p w:rsidR="00000000" w:rsidDel="00000000" w:rsidP="00000000" w:rsidRDefault="00000000" w:rsidRPr="00000000" w14:paraId="00000028">
      <w:pPr>
        <w:contextualSpacing w:val="0"/>
        <w:rPr/>
      </w:pPr>
      <w:r w:rsidDel="00000000" w:rsidR="00000000" w:rsidRPr="00000000">
        <w:rPr>
          <w:rtl w:val="0"/>
        </w:rPr>
        <w:t xml:space="preserve">But he ended PM</w:t>
      </w:r>
    </w:p>
    <w:p w:rsidR="00000000" w:rsidDel="00000000" w:rsidP="00000000" w:rsidRDefault="00000000" w:rsidRPr="00000000" w14:paraId="00000029">
      <w:pPr>
        <w:contextualSpacing w:val="0"/>
        <w:rPr/>
      </w:pPr>
      <w:r w:rsidDel="00000000" w:rsidR="00000000" w:rsidRPr="00000000">
        <w:rPr>
          <w:rtl w:val="0"/>
        </w:rPr>
        <w:t xml:space="preserve">CH and OM</w:t>
      </w:r>
    </w:p>
    <w:p w:rsidR="00000000" w:rsidDel="00000000" w:rsidP="00000000" w:rsidRDefault="00000000" w:rsidRPr="00000000" w14:paraId="0000002A">
      <w:pPr>
        <w:contextualSpacing w:val="0"/>
        <w:rPr/>
      </w:pPr>
      <w:r w:rsidDel="00000000" w:rsidR="00000000" w:rsidRPr="00000000">
        <w:rPr>
          <w:rtl w:val="0"/>
        </w:rPr>
        <w:t xml:space="preserve">An earl and a knight of the garter.</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Today the nonstarter is regarded by many as the greatest of all twentieth-century British prime ministers. That was the verdict in 2004 of a survey of British academics, the modern equivalents of E.P. Thompson, Raymond Williams, and Ralph Miliband, who had at the time condemned the Attlee governments as timid and unadventurous. To jaded modern eyes, the Attlee style looks more and more attractive, with its total absence of spin or flashiness, its freedom from sleaze and dodgy hangers-on, its unadorned plainness and modesty. What a contrast between today’s pretentious cavalcades and Violet Attlee in her battered old Hillman driving her husband to kiss hands at Buckingham Palace. Better still that Violet was notorious as the worst driver in the Home Counties.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Nor is this new admiration simply a matter of style. The subtitle of John Bew’s superb biography is no gimmicky overstatement. We are increasingly aware that, in a deep sense, it really was the Attlee government and Attlee himself who “made modern Britain.” Theresa May, in her first speech as prime minister to the Conservative Party conference, in 2016, included Attlee among her heroes, alongside the conventional Tory icons of Disraeli, Churchill, and Thatcher. The partial undoing of the Attlee legacy by Thatcher and her successors has not much altered the nation’s underlying mindset, as the annual survey British Social Attitudes has repeatedly shown. The title of the thirty-fourth report, for 2017, pretty much sums up the continuing ethos: “A kind-hearted but not soft-hearted country.”</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Clem was all the things his critics said he was. He had a tinny voice and a slight figure, though as you can see from photographs of the war cabinet he was in fact slightly taller than Churchill, 5 foot 9 inches as against 5 foot 6 or 7, but whippet-thin as opposed to the overfed bulldog beside him. He was indeed born in the London suburbs, though very much at the prosperous end. His nanny had once been Churchill’s nanny, and his father, Henry, was a lawyer rich enough to buy a country house in Essex. The Attlees were both affectionate and high-minded, and most of them devoted their lives to serving the community.</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Henry Attlee was disgusted by the degeneration of the British Empire into a scramble for gold and diamonds, but that did not deter him from sending Clem, his seventh child and fourth son, to Haileybury College, the nursery for the Indian Civil Service. Clem conceived a lasting loyalty and affection for every institution he joined, but Haileybury was his first and last love. After leaving Oxford, he went straight to the Haileybury Club in Stepney, one of the roughest parts of London’s East End, and took up residence there. Every self-respecting Victorian public school had set up its own club in the slums. The well-heeled alumni would leave their City stools and go to play ping-pong and soccer with the underprivileged lads. Clem specialized in subjecting his cohort to military drills, becoming in the process a lieutenant in the Territorial Army. He devoted himself to the club right up to 1914. When the lads joined up, so did he.</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No one could be more aware from firsthand experience of the intensity of working-class patriotism and of the unreality of the Marxist fantasy that the workers of the world would unite to prevent a global war among the imperialists: “Race, language, colour, religion and history are stubborn things that do not disappear with the waving of a Marxian wand,” he wrote thirty years later. No one could feel more passionately about his country than Clem: “I love England and especially dear, ugly East London, more than I can say.” Among twentieth-century prime ministers, only Stanley Baldwin was moved to such eloquence by his native landscape, but Attlee’s was less of an homage to an imagined rural past: his fatherland was not only</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the true England of Nature, the trees, hedges, grass and the lie of the land, but even the transitory England of the C20th with its railways, towns and lighted streets, above all, the lit pavements shimmering and wet with rain.</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Attlee poured his most intense feelings into the poetry he read and wrote. Bew reanimates those feelings by heading his chapters with snatches from Attlee’s favorite lines, from Kipling’s “Recessional” to The Hunting of the Snark, stanzas of which he and Churchill quoted to each other, identifying their fellow politicians as the Beaver or the Barrister. By contrast, Attlee was implacably hostile to the “mumbo-jumbo” of organized religion. In particular, he ridiculed “the clerical fatuity” of the Church of England, seen at its posturing worst among the chaplains of the Great War. His favorite poets were all anticlerical if not actively atheistic: Blake, Keats, Shelley, Swinburne, Hardy (though he preferred the Wessex novels). In later life, he lapped up Gibbon, reading at Chequers the set of The Decline and Fall of the Roman Empire that Churchill had left behind. He also relished the stimulating essays of Cecil Delisle Burns, a Catholic seminarian who had defected to become the resident guru of the South Place Ethical Society.</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A captain in the 6th South Lancashire Regiment in 1915, Attlee crouched for three weeks under Turkish bombardment on that narrow strip of sand at Gallipoli. It was there that he wrote “Stand To”:</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From step and dug-out huddled figures creep</w:t>
      </w:r>
    </w:p>
    <w:p w:rsidR="00000000" w:rsidDel="00000000" w:rsidP="00000000" w:rsidRDefault="00000000" w:rsidRPr="00000000" w14:paraId="0000003D">
      <w:pPr>
        <w:contextualSpacing w:val="0"/>
        <w:rPr/>
      </w:pPr>
      <w:r w:rsidDel="00000000" w:rsidR="00000000" w:rsidRPr="00000000">
        <w:rPr>
          <w:rtl w:val="0"/>
        </w:rPr>
        <w:t xml:space="preserve">Yawning from dreams of England; bayonets gleam…</w:t>
      </w:r>
    </w:p>
    <w:p w:rsidR="00000000" w:rsidDel="00000000" w:rsidP="00000000" w:rsidRDefault="00000000" w:rsidRPr="00000000" w14:paraId="0000003E">
      <w:pPr>
        <w:contextualSpacing w:val="0"/>
        <w:rPr/>
      </w:pPr>
      <w:r w:rsidDel="00000000" w:rsidR="00000000" w:rsidRPr="00000000">
        <w:rPr>
          <w:rtl w:val="0"/>
        </w:rPr>
        <w:t xml:space="preserve">And rat-tat-tat, machine guns usher in</w:t>
      </w:r>
    </w:p>
    <w:p w:rsidR="00000000" w:rsidDel="00000000" w:rsidP="00000000" w:rsidRDefault="00000000" w:rsidRPr="00000000" w14:paraId="0000003F">
      <w:pPr>
        <w:contextualSpacing w:val="0"/>
        <w:rPr/>
      </w:pPr>
      <w:r w:rsidDel="00000000" w:rsidR="00000000" w:rsidRPr="00000000">
        <w:rPr>
          <w:rtl w:val="0"/>
        </w:rPr>
        <w:t xml:space="preserve">Another day of heat, and dust, and flies.</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Not quite Owen or Sassoon, but not entirely negligible either.</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As an infantry officer, Attlee quickly developed some of those qualities for which he later became famous in politics: unswerving diligence and devotion to duty, brisk attention to the task, and a sharp impatience. As the snow began to fall and frostbitten bodies were carried down from the trenches on the higher ground, Captain Attlee immediately recognized the danger to his company:</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To warm up his men, who stood shivering, he ordered them to run on the spot, and permitted them to make use of their rations of rum. He set them to digging new dug-outs, issued fuel and petrol and got some fires going in old tins they had picked up on the beach. He then ordered a foot inspection and made all the men with sodden feet rub them with snow to make sure that the blood was circulating.</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When it came to the inevitable evacuation, he and Lieutenant General Frederick Maude were the last men off the beaches in what had been the only efficiently managed part of the whole disastrous expedition. Attlee continued to think that if it had been properly led and supported, the Gallipoli campaign would have succeeded. Since fewer and fewer people continued to think this, his conviction led to a lasting bond with Churchill, who as First Lord of the Admiralty had inspired and pushed it through from first to last.</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A few months later Attlee was in the fierce fight at Kut al-Amara in Mesopotamia, where he led his men over the top carrying the red flag of the South Lancashires and was wounded in the buttock by friendly fire. He wrote to his brother Tom, who was facing imprisonment as a diehard conscientious objector, “it might be interesting to the comrades to know I was hit while carrying the red flag to victory.” Tom was eventually sentenced to solitary confinement and was in Wandsworth Jail while Clem was recuperating from his wounds in nearby Wandsworth Hospital. Their mother Ellen remarked, “I don’t know which of these two sons I am more proud of.” “Suburban” seems a rather inadequate epithet to describe the Attlees.</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By the time he was elected to Parliament for Limehouse in 1922 (the first Oxford graduate to become a Labour MP), Attlee’s views and character were fully formed. In fact, they had been largely formed by 1914. He wrote to Tom, “I do not find my outlook very much changed during the war though I think I have attained slightly more catholicity.”</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Bew rightly draws attention to the delicate precision of that last word. Attlee’s kind of socialism grew out of an ideal of shared citizenship, of engaging everyone in the pursuit of the common good. He acknowledged what liberalism had contributed, but the liberal ideal had had its day. The time had come for a universal state that would include all classes of society and protect their “welfare,” in every sense of that fine old Anglo-Saxon word. He had started thinking along these lines after reading William Morris, in particular his novel News from Nowhere (1897). But he came to find Morris’s rural craftsman’s paradise unrealistic and a trifle oppressive, and he turned back to a slightly earlier utopia, that in Edward Bellamy’s Looking Backward (1887), which embraced urban life and welcomed mechanization as a liberation from backbreaking toil.</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Clement Attlee during World War I</w:t>
      </w:r>
    </w:p>
    <w:p w:rsidR="00000000" w:rsidDel="00000000" w:rsidP="00000000" w:rsidRDefault="00000000" w:rsidRPr="00000000" w14:paraId="00000051">
      <w:pPr>
        <w:contextualSpacing w:val="0"/>
        <w:rPr/>
      </w:pPr>
      <w:r w:rsidDel="00000000" w:rsidR="00000000" w:rsidRPr="00000000">
        <w:rPr>
          <w:rtl w:val="0"/>
        </w:rPr>
        <w:t xml:space="preserve">There was another vision that Attlee warmed to following World War I: Woodrow Wilson’s Fourteen Points. Democracy, self-determination, open agreements, free trade, the League of Nations—all were woven into Attlee’s tapestry. He became a lifelong admirer of the politics and people of the United States, without a shred of the anti-Americanism that later infected the left. Hence he was an eager cold war partner in the Western alliance and the forging of NATO. The American distaste for socialism never weakened that loyalty. And loyalty was the first quality that endeared Attlee to all sorts of people: East End dockers, Durham coal miners, trade union MPs (if not middle-class intellectual socialists like Harold Laski), and American statesmen from Truman on down—all of them felt that you could rely on Clem.</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He was no less steadfast in his own brand of socialism, which was wholehearted and uncomplicated. He didn’t much care for Sidney Webb. Looking back on the Labour movement before 1914, he reflected, “We were too Webby—I’m sure I was, having a fatal love of statistics and a neat structure of society.” But he gave enduring allegiance to the 1918 constitution that Webb drafted, including its celebrated Clause IV (actually IV.4):</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To secure for the workers by hand or by brain the full fruits of their industry and the most equitable distribution thereof that may be possible, upon the basis of the common ownership of the means of production, distribution, and exchange, and the best obtainable system of popular administration and control of each industry or service.</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Twenty years later, in The Labour Party in Perspective (1937), Attlee quoted the 1918 party goals, insisting that they were “approximately as they stand to-day” (and indeed went on standing until 1995, when Tony Blair managed with great difficulty to persuade the party to dilute them). And Attlee meant it.</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Within three years of his becoming prime minister, “the commanding heights of the economy” (a phrase first used by Lenin) were all in state hands: coal, gas, electricity, railways, trucking, and the Bank of England, with iron and steel to follow. All of these have now been returned to the private sector, mostly under Thatcher and mostly with measurable benefits to the customer (notably in water and telecommunications, which were state-owned before Attlee). As for coal, once the king of British industry but now almost wiped out, it is hard to say exactly what would have happened without the Tory counterrevolution. Pits were already being closed by the dozen under the National Coal Board. The best guess is that the rundown would have been slower had the industry remained in public ownership.</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 legacy of the Attlee years that remains is the fourfold system of welfare put in place in a single year, 1948: the national health service, national insurance for pensions and sick pay, the national industrial injuries scheme, and the national assistance for the very poor. These remain at the core of the British social system and, though much tweaked, chiseled, reformed, and reencrusted by succeeding governments, have never been fundamentally challenged. Danny Boyle’s dazzling masque at the opening of the London Olympics in 2012, with its columns of marching nurses, reflected the continuing centrality of the NHS in the nation’s affections. It was an Attlee tribute show.</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It is possible to see all this as the outcome of a patriotic consensus forged during World War II. After all, the basics were put in place by Tory ministers in the wartime coalition such as Sir Henry Willink (health) and R.A. Butler (education), and by Liberals such as Sir William Beveridge (social insurance) and John Maynard Keynes (macroeconomics). It is true too that all through the 1930s the tendency was for institutional consolidation at the national level, such as the British airways corporations and the BBC. There is plenty of Attlee-type thinking to be found in Harold Macmillan’s The Middle Way (1938).</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But these valid qualifications must yield primacy to the efforts of Attlee himself, as Churchill’s deputy in the coalition, to prepare the way for the sort of postwar settlement that to his chagrin had not followed World War I. He often slid the essential elements into place while the old man’s back was turned, though not against his will, for Churchill retained enough of his Liberal leanings to be in sympathy with the general direction. The one animal to which I have not seen Attlee compared is the mole, the analogy so beloved of Karl Marx. In Britain at least, the sternest anti-Marxist on the left burrowed longer and deeper than his opponents. When The Labour Party in Perspective was reissued in 1949, the correspondent for The Washington Post wisecracked that not even Mein Kampf had given a more accurate indication of the author’s ultimate intentions.</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From first to last, though, Attlee was insistent that he remained a democrat and a pluralist: “I am also in favour of variety and entirely opposed to the abolition of old traditions and the levelling down of everything to dull uniformity.” From his early days in the East End he was unflaggingly hostile to Marxism in theory and communism in practice, having becoming familiar with the brutal and devious tactics of Communists in the trade unions. In 1950, toward the end of his premiership, it was he, and not as popularly thought Margaret Thatcher, who first warned the public to beware of “the enemy within,” that is, Communist infiltration into the trade unions.</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He was as hard as any of his opponents on the left, not only in his adamant adherence to his own principles but also in his ruthlessness, which he never hesitated to deploy in both war and peace. In the Cabinet’s discussion on May 15, 1940, he was one of the strongest proponents of an aggressive bombing strategy against Germany, even if it led to large-scale civilian casualties—as it did that very evening when the RAF launched a hundred bombers on the first mega-raid against the Ruhr, the cities of which were to be 80 percent devastated by the end of the war. He willingly took ministerial responsibility for stockpiling tons of poison gas, to be released in the event of an invasion of Britain. In later years, he made it plain that he would have had no hesitation in using it.</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At the end of the war, Attlee took a strong line in favor of dismembering the German state, even if he stopped short of Henry Morgenthau’s plan for “pastoralizing” the country. He wholeheartedly supported Truman on the dropping of the atomic bomb and instantly concluded that Britain must have atomic weapons of its own and be prepared to use them. Fearful that his Labour colleagues might not support him, he set up a secret Cabinet committee, GEN 163, to authorize work to begin before any objections could be raised. The committee met only once, on January 8, 1947, and its decisions were not communicated to the Cabinet, then or later. Similarly, neither Cabinet nor Parliament got to hear of Attlee’s agreement with James Forrestal, the US secretary of defense, to station three groups of large bombers on British soil. When the Korean conflict loomed, it was a foregone conclusion that Attlee’s Britain would join in, even though the cost of rearming was to be a major factor in Labour’s downfall in 1951.</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In his hardness, he was equaled only by Churchill himself. Yet to this day, the mouse remains in the lion’s shadow. Even the jacket blurb for Bew’s book spends several sentences talking about Churchill, before going on to argue that in fact Attlee may have been the more consequential leader. We can go further, I think. Without Attlee, Churchill might never have become prime minister at all, and might be remembered today only as a mercurial figure responsible for a series of catastrophic misjudgments: Gallipoli, the return to the gold standard, resistance to Indian independence, and, perhaps most pregnant of all, bombing the hell out of Mesopotamia in the early 1920s, the consequences of which haunt us still.</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As long as the pacifist George Lansbury led the Labour Party, Attlee loyally supported its stance against rearmament. But after Attlee succeeded him in 1935—a succession by no means as unlikely as posterity has chosen to think—Labour began to become a staunch anti-appeasement and pro-rearmament party. In this process, Attlee immediately offered his undeviating support for the Spanish Republic and did not hesitate to visit the battlefront, where he gave the clenched-fist salute to the Major Attlee Company of the International Brigade. This gesture afforded Senator Joseph McCarthy a few more column inches, but hardly anyone ever dreamed of Attlee as a fellow traveler.</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By 1938 Churchill and Attlee were in clandestine cahoots. For Attlee, the Munich Agreement was “one of the greatest diplomatic defeats that this country and France have ever sustained.” So began the tense process by which Attlee became the kingmaker. True, Churchill might eventually have emerged on top of the heap of agonized Tory ministers, but the support of Labour made his replacing Neville Chamberlain a quick and decisive business. Churchill never forgot it.</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Oddly enough, it is in covering the Attlee government that Bew’s book loses some of its earlier vivacity and intensity. There is a certain blandness about his account of the domestic scene in the late 1940s. He does not bring alive as David Kynaston does in Austerity Britain (2007) the grimmer aspects of the Attlee years, the physical and moral exhaustion, the lines, the rationing, the bureaucracy, the fuel shortages, and not least the drastic devaluation of the pound in 1949, which was experienced as a national humiliation, though in reality it was a lifeline. Bew mentions only in passing those like Correlli Barnett in The Audit of War (1987) and The Lost Victory: British Dreams, British Realities 1945–1950 (1995) who argue that Britain frittered away its scanty resources on welfare rather than rebuilding with the same urgency as France and Germany.</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Nor does Bew discuss a slightly different argument: that a government that loosened up the economy more boldly, as Harold Wilson began to do in late 1948 with his “bonfire of controls,” and relied more on the free market and less on government direction and control might have revived the animal spirits not only of entrepreneurs but of the general public. Labour did win the largest popular vote ever in 1950 and 1951 (though the Conservatives nonetheless came out of the 1951 election with a parliamentary majority, and Attlee resigned as prime minister), but might it not have done better still if it had responded to the public desire for economic elbow room?</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Like Attlee, Bew seems reluctant to enter too closely into economic controversy and evaluation. In fact, Attlee was singularly uninterested in commerce at any time in his life, still less in consumption. If half a glass of sherry was good enough for himself and his guests, why should anyone else want more? For Attlee, austerity was not simply the necessity of the times, it was his own instinctive preference. Which is perhaps why posterity has chosen to retain fonder memories of Churchill, with his cigars and his brandy and his racehorses.</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Superman in Tweeds</w:t>
      </w:r>
    </w:p>
    <w:p w:rsidR="00000000" w:rsidDel="00000000" w:rsidP="00000000" w:rsidRDefault="00000000" w:rsidRPr="00000000" w14:paraId="00000076">
      <w:pPr>
        <w:contextualSpacing w:val="0"/>
        <w:rPr/>
      </w:pPr>
      <w:r w:rsidDel="00000000" w:rsidR="00000000" w:rsidRPr="00000000">
        <w:rPr>
          <w:rtl w:val="0"/>
        </w:rPr>
        <w:t xml:space="preserve">Simon Callow APRIL 19, 2018 ISSUE</w:t>
      </w:r>
    </w:p>
    <w:p w:rsidR="00000000" w:rsidDel="00000000" w:rsidP="00000000" w:rsidRDefault="00000000" w:rsidRPr="00000000" w14:paraId="00000077">
      <w:pPr>
        <w:contextualSpacing w:val="0"/>
        <w:rPr/>
      </w:pPr>
      <w:r w:rsidDel="00000000" w:rsidR="00000000" w:rsidRPr="00000000">
        <w:rPr>
          <w:rtl w:val="0"/>
        </w:rPr>
        <w:t xml:space="preserve">Judging Shaw: The Radicalism of GBS</w:t>
      </w:r>
    </w:p>
    <w:p w:rsidR="00000000" w:rsidDel="00000000" w:rsidP="00000000" w:rsidRDefault="00000000" w:rsidRPr="00000000" w14:paraId="00000078">
      <w:pPr>
        <w:contextualSpacing w:val="0"/>
        <w:rPr/>
      </w:pPr>
      <w:r w:rsidDel="00000000" w:rsidR="00000000" w:rsidRPr="00000000">
        <w:rPr>
          <w:rtl w:val="0"/>
        </w:rPr>
        <w:t xml:space="preserve">by Fintan O’Toole</w:t>
      </w:r>
    </w:p>
    <w:p w:rsidR="00000000" w:rsidDel="00000000" w:rsidP="00000000" w:rsidRDefault="00000000" w:rsidRPr="00000000" w14:paraId="00000079">
      <w:pPr>
        <w:contextualSpacing w:val="0"/>
        <w:rPr/>
      </w:pPr>
      <w:r w:rsidDel="00000000" w:rsidR="00000000" w:rsidRPr="00000000">
        <w:rPr>
          <w:rtl w:val="0"/>
        </w:rPr>
        <w:t xml:space="preserve">Dublin: Royal Irish Academy, 358 pp., $40.00</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AP Images/National Portrait Gallery, London</w:t>
      </w:r>
    </w:p>
    <w:p w:rsidR="00000000" w:rsidDel="00000000" w:rsidP="00000000" w:rsidRDefault="00000000" w:rsidRPr="00000000" w14:paraId="0000007C">
      <w:pPr>
        <w:contextualSpacing w:val="0"/>
        <w:rPr/>
      </w:pPr>
      <w:r w:rsidDel="00000000" w:rsidR="00000000" w:rsidRPr="00000000">
        <w:rPr>
          <w:rtl w:val="0"/>
        </w:rPr>
        <w:t xml:space="preserve">George Bernard Shaw, Whitehall Court, London, October 1946</w:t>
      </w:r>
    </w:p>
    <w:p w:rsidR="00000000" w:rsidDel="00000000" w:rsidP="00000000" w:rsidRDefault="00000000" w:rsidRPr="00000000" w14:paraId="0000007D">
      <w:pPr>
        <w:contextualSpacing w:val="0"/>
        <w:rPr/>
      </w:pPr>
      <w:r w:rsidDel="00000000" w:rsidR="00000000" w:rsidRPr="00000000">
        <w:rPr>
          <w:rtl w:val="0"/>
        </w:rPr>
        <w:t xml:space="preserve">Various Irish notables have recently been put on trial in a sparky series of books published by the Royal Irish Academy under its Prism imprint: so far we have had Judging Dev, Judging Cosgrave, and Judging Redmond and Carson. Now it is George Bernard Shaw’s turn in the dock. He could have no more sympathetic an advocate than Fintan O’Toole, the subtlest brain and the sharpest pen in Irish letters today, who makes his position clear in his dedication: “To my father Samuel O’Toole, Shavian, man and superman.” This father was a man to whom, adds O’Toole elsewhere, “Shaw was a pure delight…a pathfinder who had opened the way to the rough but exhilarating terrain of thinking for yourself.”</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O’Toole wants “to try to restore at least a little of that admiration for what Shaw did and what he got away with.” That last phrase assures us that he will approach Shaw in no great spirit of reverence (though he makes some pretty big claims for him along the way). He makes no pretension to the inclusiveness of Michael Holroyd’s richly detailed and leisurely four-volume biography, but he covers a remarkable amount of ground. This is no mean feat. Shaw’s longevity, coupled with his heroic productivity, demands an epic approach. O’Toole’s purpose, he says, is “to restore [Shaw]…to the twenty-first century.”</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When I started reading seriously, Shaw was very much a force to be reckoned with. In 1965, the socialist millionaire publisher Paul Hamlyn brought out two volumes, one containing all the plays and the other all the prefaces, in affordable editions. They sold like hotcakes; the plays themselves were still regularly performed in London’s West End and across the UK. A mere twenty years later, Shaw had all but faded from view, represented on the English stage by a mere handful of his sixty-two published plays: Heartbreak House, the most regularly revived, with very occasional productions of Saint Joan, Major Barbara, and the shockingly trenchant Mrs. Warren’s Profession.</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He had vanished, too, as an intellectual influence, the books once read by anyone who could read—The Intelligent Woman’s Guide to Socialism and Capitalism and Everybody’s Political What’s What, to say nothing of The Quintessence of Ibsenism and The Perfect Wagnerite, his masterful exegesis of The Ring of the Nibelung—consigned to oblivion. As early as 1973, Martin Seymour-Smith was writing in his Guide to Modern World Literature: “[Shaw] was a superficial thinker and a third-rate writer. His career as a whole is a monument to the failure of human reason alone to solve human problems…he undoubtedly belongs to the history of the theatre; his place in literature, however, is a very minor one.”</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And of course he had completely disappeared as a personal presence. His ubiquity during his lifetime was unparalleled: in print, on stage, on air, in newsreels, on the newfangled television. He had an opinion about everything, and that opinion was eagerly sought. He consciously set out, he said, to embody the zeitgeist. Whether he succeeded in that is to be questioned: Surely he was, rather, a thorn in the side of the zeitgeist, a scourge of the common wisdom? He most certainly became, as O’Toole points out, an inspiration to the newly intellectually aware middle- and lower-middle classes, as they discovered a brave new world of thought and art, rejoicing in the uses of literacy: “He was the touchstone of the autodidact…. Shaw’s writing is highly complimentary to his readers: it assumes that they are up to it.” But by the 1980s, that constituency, with the general increase in higher education, had vanished without a trace.</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O’Toole masterfully analyzes how and why Shaw became Shaw. Born in Dublin in 1856, into that most fertile of milieux, the nouveau pauvre—“I was a downstart,” he said, “and the son of a downstart”—Shaw was acutely embarrassed by the decline in circumstances of his drunken father (“a futile person,” he said) and keenly aware of his mother Bessie’s contempt for him. She showed her son no great affection, and soon became romantically involved with her music teacher, the highly original and charismatic George Vandeleur Lee, under whose spell Shaw also fell, seeming to model himself on him. For a while they all lived together in a somewhat bohemian arrangement; eventually and inevitably, Bessie Shaw abandoned her husband and moved to London with Lee. Shaw went to work in a real estate office in Dublin, rising rapidly to become the chief cashier, all the while teaching himself political philosophy and music.</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Before long, he moved to London, making his debut as a writer ghosting Lee’s articles on music. Like many an actor, he found his voice by donning a mask, the mask that soon evolved into the world-beating figure of GBS—witty, rigorous, energetic. Meanwhile, he pursued his political education, mingling in socialist circles, studying at the British Museum Reading Room. By intense application, he mastered the classics of philosophy and economics: “his ideas,” O’Toole says, “were an idiosyncratic compound” of Marx’s economics, Wagner’s music and mythology, Schopenhauer’s idea of the world as blind Will, and Nietzsche’s “crusade against morality.” Determined to impose himself on England but aware that he could never do so by playing the socially déclassé Irishman, he presented himself to the English as a superior if compassionate intellect. “Arguably Shaw’s greatest single insight,” writes O’Toole, “was that the best way to be Irish in England was to be German.” And then—the coup de grâce—he was funny with it, “an Irishman full of instinctive pity for those of my fellow creatures who are only English.”</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An outpouring of writing ensued: four unpublished novels; in 1884, when he was twenty-eight, a fifth, An Unsocial Socialist, finally appeared in serial form. A year after that, he was appointed music critic of The Dramatic Review, assaulting the dismally low levels of both performance and composition in late Victorian London with coruscating wit; three years after that, he began his highly successful career as a public speaker. His first play, Widowers’ Houses, about slum landlordism, appeared in 1892, playing only two performances in a theater club. He was thirty-six: precocious he was not. His first success in the theater came a year later with Arms and the Man, which ran for a solid fifty performances. He was appointed drama critic for the influential Saturday Review in 1895; it was a further two years before The Devil’s Disciple had its premiere, to great acclaim, in New York. For the first time he earned some proper money.</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Shaw was now just over forty, and he was everywhere, writing copiously in the Fleet Street press and for the Fabian Society, the left-wing think tank of which he was an early and increasingly influential member; he sat on the Labour Representative Committee that would ultimately create the Labour Party, “and as such,” says O’Toole, “has a place in the history of mainstream electoral social democracy.” For a while, he sat on his local borough council, but gave it up on the grounds that local government was endemically ineffective. Meanwhile, his fame and indeed his fortune—the former chief cashier knew how to handle his own finances—expanded with the increasing success of his plays across Europe, above all in the German-speaking countries. His last triumph before the outbreak of World War I was Pygmalion; by the time it opened in London in April 1914, it had already been seen in Vienna, Berlin, Budapest, Warsaw, Stockholm, and New York (in the German-speaking theater there). He was, at the age of fifty-eight, arguably the most famous living writer in the world, held in universal admiration, given unique license to say the unsayable.</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The war changed all that. The outbreak of hostilities disturbed Shaw greatly, appalled as he was that the two countries to which he was closest, Britain and Germany, should set out to destroy each other. He bided his time, and then in November 1914, he delivered his considered response, Common Sense about the War, a devastating exposé of the deceptions and hypocrisies practiced by both sides, as well as a prescription for action that should be taken when the war ended. It was published simultaneously in The New York Times and the London New Statesman and created a furor that seemed likely to engulf Shaw completely. “The time has now come,” he wrote, “to pluck up courage and begin to talk and write soberly about the war.” The article is neither pacifist nor defeatist: now that Britain and its allies had committed themselves to war, they must win, Shaw believed, but he was utterly unsparing of the foolishness, dishonesty, and self-deception of the British government and indeed the British people that had led to its declaration: “Let us have no more nonsense about the Prussian Wolf and the British Lamb, the Prussian Machiavelli and the English Evangelist. We cannot shout for years that we are boys of the bulldog breed and then suddenly pose as gazelles.”</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To write in this vein only four months into a war that was still hugely popular with a nation gripped by hysterical patriotic emotion was extraordinarily brave. In the pamphlet, he expressed again, as he had in Major Barbara (1905), his despair and fear concerning the existence of weapons of mass destruction: “The one danger before us…is the danger created by inventing weapons capable of destroying civilisation faster than we produce men who can be trusted to use them wisely. At present, we are handling them like children.” When the article appeared, the entire nation, not least his fellow writers, seemed to rise up against him. As O’Toole tells us in this superb section of the book, in time much of what Shaw had said seemed to be no more than the bare truth; he was quietly forgiven and absorbed back into the fold. The British commander in chief, Douglas Haig, invited him to go to the front in France and Flanders; on his return he wrote a lengthy and sometimes unexpectedly funny report on conditions there, which was serialized in the News Chronicle. O’Toole notes that this episode (condemnation followed by rehabilitation) had a surprising effect on the way Shaw was perceived by his audiences—and on the way he saw himself. Vindicated, he went in one bound from enfant terrible to sage.</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This was regrettable, both for his work—which became increasingly preachy, the ideas he promoted less and less tested and debated—but also for his political influence. Like Dickens, he became increasingly impatient with democracy; unlike Dickens he looked more and more to some great leader to effect change. He admired Hitler (though disparaging his anti-Semitism), endorsed Mussolini, and was positively besotted by Stalin, whose framed portrait was on his mantelpiece (beside Gandhi’s) until the day he died, by which time no one could have harbored any illusions about what had gone on during the collectivization of farms.</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Shaw was perfectly compos mentis to the end, but he seemed to have lost his judgment. Like Arthur Koestler after him, he began to feel that the human race’s failure to progress was genetic, that human beings as presently constituted were a mere unsatisfactory stage in a continuing evolutionary process. “There are many people in the world who ought to be liquidated,” he wrote in September 1938, in, of all places, the American magazine Liberty. Even more alarmingly, in the historic year 1933, he had written, in the darkly unnerving preface to his political comedy On the Rocks, that “if we desire a certain type of civilization and culture we must exterminate the sort of people who do not fit into it,” adding that “the terror will act as a sort of social conscience which is dangerously lacking at present and which none of our model educational establishments ever dreams of inculcating.” O’Toole is at pains to characterize such comments as elaborately ironic in the Swiftian manner, but is compelled to acknowledge that there was no irony in Shaw’s embrace of the dictators: he meant it, all right.</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O’Toole cites Shaw’s fellow Irishman Swift on a number of occasions, to illuminating effect. Indeed, Shaw’s Irish identity—his carefully preserved status as an outsider—is a central theme of the book, though he rarely returned to his native land after leaving it at the age of twenty. He frequently expressed his contempt for the Dublin of his youth, which “had no society that did not disgust me…. I am not enamoured of failure, of poverty, of obscurity, and of the ostracism and contempt which these imply.”</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Nonetheless, Shaw’s political passion had its roots in the deep and desperate poverty he had witnessed in Ireland. He closely monitored developments across the Irish Sea, coming to the conclusion that though he thought Ireland better off as part of the United Kingdom, its passion for self-rule was so intense that it must be conceded. He fraternized with the revolutionary leader Michael Collins (dining with him only days before he was shot) and—in an extraordinary episode described in riveting detail by O’Toole—wrote a speech for Roger Casement to deliver at his trial for treason, an event that Shaw proposed should be staged like a play. The nub of the argument in the speech was that the accused was not English and therefore could not by definition be a traitor to England; as it happens, Casement rejected Shaw’s speech, and was found guilty and hanged.</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‘The Campbell Tartan and the Cockney Fling—(if fling it can be called)’; drawing of George Bernard Shaw by Max Beerbohm, July 1922</w:t>
      </w:r>
    </w:p>
    <w:p w:rsidR="00000000" w:rsidDel="00000000" w:rsidP="00000000" w:rsidRDefault="00000000" w:rsidRPr="00000000" w14:paraId="0000009D">
      <w:pPr>
        <w:contextualSpacing w:val="0"/>
        <w:rPr/>
      </w:pPr>
      <w:r w:rsidDel="00000000" w:rsidR="00000000" w:rsidRPr="00000000">
        <w:rPr>
          <w:rtl w:val="0"/>
        </w:rPr>
        <w:t xml:space="preserve">Despite Shaw’s early departure from Ireland, it remained deep in his bones. He became an Irish citizen when the country gained its independence, holding dual citizenship to the end. As a boy, living for a while in Dalkey Hill outside Dublin and having his first sustained exposure to nature, he had experienced a Wordsworthian sense of rapture that stayed with him for the rest of his life. O’Toole argues that this experience is the source of his subsequent embrace of the notion of the Life Force. Shaw’s extrapolation of the idea of Creative Evolution, deriving from Lamarck rather than Darwin, became an increasingly dominant element in the plays: his leading female characters are shown in the grip of a biological imperative to choose a mate, whether he desires it or not.</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It is notable that Shaw himself avoided the Life Force like the plague. A virgin until the age of twenty-nine, he had a modestly active sex life but, as he informed his biographer Frank Harris, he had never been “duped by sex as a basis for permanent relations, nor dreamt of marriage in connection with it.” At the age of forty-two, he married Charlotte Payne-Townshend, who was very rich, a fellow Fabian, and Irish to boot. Their partnership was highly successful, although “as man and wife,” he said, “we found a new relation in which sex had no part.” Shaw succumbed to a number of intense infatuations—including with Mrs. Patrick Campbell and Florence Farr—in which, Henry Higgins–like, he sought to take over and shape their careers, their artistry, and their lives. In the plays, says O’Toole, it is always women who come to dominate the action. They are driven by Nature to create children; men—“Frankenstein’s monsters, created by women,” says O’Toole, “but gone out of control”—are neither here nor there, except as suitable sperm donors. It is a striking view of relations between the sexes, as fatalistic as Strindberg’s, though a little more amusing. Whether it is a promising premise for dramaturgy is another matter, which brings us to the elephant in the room: Shaw’s achievement as a dramatist.</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O’Toole is in no doubt of the importance or the quality of many of the plays. He is brilliant at locating Shaw’s life in his work, but less brilliant, perhaps, at assessing the work itself. In his chapter “The thinking cap and the jester’s bells,” he puts forward his case somewhat tortuously and not entirely convincingly. “A great dramatist, as opposed to a good one,” he declares,</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is one in whose work the whole history of theatre seems to be alive. A great dramatist is also one who breaks decisively and influentially with the theatre as he or she finds it. These are of course contradictory demands—for a radical continuity and a radical discontinuity—but it is exactly the capacity to contain these contradictions that is the mark of greatness.</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This complicated thought lacks the ring of truth. Greatness in a dramatist consists in creating characters who lodge themselves in our consciousness so that we commune with them as with friends or family; the great dramatist makes one believe that one has seen something like the conflicts and resolutions of real life between autonomous human beings who are following their own agendas, not the author’s. O’Toole notes admiringly that “cause and effect does not really operate” in Shaw. But if that is the case, are the characters then not merely subject to the author’s whim? Contrasting GBS the sage with Shaw the playwright, he tells us that “the sage GBS wants to tell people what to think; the playwright wants to make them wonder what it is they are supposed to make of it all. He does not shed light; he leaves us in a more radiant darkness.” This is a fine phrase; they are all fine phrases, but do they really describe the experience of seeing a play by Shaw?</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There has always been a certain resistance in theatrical circles to his work. Many great actors have avoided it altogether. Peggy Ashcroft, Michael Redgrave, Laurence Olivier, Ralph Richardson, Alec Guinness, and John Gielgud had but brief encounters with it. Shaw’s inexhaustible verbosity at the expense of emotional depth has attracted certain players more than others. “Oh, that Bernadette Shaw!” cries Captain Terri in Peter Nichols’s Privates on Parade, speaking for many. “What a chatterbox!” The characters are curiously lacking in sensuality, in flesh and blood.</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And yet the plays work very well in the theater. Shaw knew exactly how to amuse and stimulate an audience. The problem is that the playwright colludes with the audience over the characters’ heads: they are set up as patsies for him to demolish. The great cartoonist Al Hirschfeld expresses this perfectly in the famous cartoon he drew for the original production of My Fair Lady: Shaw, bearded and twinkling in the clouds, manipulates a puppet Henry Higgins, who in turn manipulates a puppet Eliza.</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There is a further problem: many of Shaw’s plays are predicated on conscious inversions of the theatrical conventions of his day, which are now quite forgotten, so the joke is lost on us. Furthermore, the use of the Life Force as the motor of the action is predictable and heavy-handed; and even in the most successful of the plays, the thrust and parry of the argument turns into intellectual badminton, with the umpire always on stage, commenting upon and interfering with the outcome. It may in fact be—heresy!—that the best way to experience Shaw’s plays is to read them. Not only in the prefaces and the back matter, but in witty and evocative stage directions and character sketches, the playwright ensures that you receive the plays exactly as he intended: nothing in the argument is lost, the jokes are vivacious and properly amusing, the stage action is vividly before you. And he himself, pulling the strings in heaven, is always present before you, as he intended.</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Notwithstanding my cavils about his view of the plays, O’Toole’s book is a remarkable piece of work, superbly designed and produced by Fidelma Slattery, with facsimiles of manuscripts and letters, cartoons and designs, and rare and marvelously reproduced photographs (many taken by Shaw himself) that give a kaleidoscopic impression of the impact of the great man on his world. It is regrettable, therefore, that there are so many typographical errors, slightly marring an otherwise admirable production, which if nothing else restores Shaw to his rightful place as one of the great prose writers of his time—in all of English literature, perhaps—and one of the most provocative thinkers, wrong though he was about many things. “He democratised scepticism,” says O’Toole, finely. He convinces us that Shaw is indeed urgently relevant to us now, with our “all-purpose-cynicism about ideas and institutions that is also strangely akin to gullibility. Instead of the Shavian ideal that all truths must be questioned and tested, there is the notion that there is no truth at all—and therefore that lies don’t much matter.”</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O’Toole shows that Shaw’s creation of GBS is perhaps the most astonishing of his achievements. There is, however, a melancholy truth about that remarkable figure to which, in 1924, his friend and mentor William Archer drew attention:</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Voltaire, with no more genius or eloquence than Shaw’s, revolutionised the world; Shaw, a professed revolutionist, will never revolutionise anything…the paradox of his career, it would seem to me, is the disproportion between his fame and his influence: it is hard to think of anyone who has made so much noise and so little mark…he presents a vivacious distortion of life at which [the public] laugh contentedly; but, having done so, they go on their way, unconvinced and uninspired.</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Despite all the vigor of O’Toole’s advocacy and the energy and brilliance of Shaw’s personality, a sadness hovers over this splendid book.</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