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Sunday April 15 the Today’s Issues group will discuss two articles from the April 5 issue of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Page 30, David Shulman, “Political Violence in Ancient India.” Raises some interesting questions about Hinduism and nonviolence.</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48, Laura Smith, The Naighty Nineties: The Triumph of the American Libido</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copy of the readings follows: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Off With Their Heads</w:t>
      </w:r>
    </w:p>
    <w:p w:rsidR="00000000" w:rsidDel="00000000" w:rsidP="00000000" w:rsidRDefault="00000000" w:rsidRPr="00000000" w14:paraId="0000000B">
      <w:pPr>
        <w:contextualSpacing w:val="0"/>
        <w:rPr/>
      </w:pPr>
      <w:r w:rsidDel="00000000" w:rsidR="00000000" w:rsidRPr="00000000">
        <w:rPr>
          <w:rtl w:val="0"/>
        </w:rPr>
        <w:t xml:space="preserve">David Shulman APRIL 5, 2018 ISSUE</w:t>
      </w:r>
    </w:p>
    <w:p w:rsidR="00000000" w:rsidDel="00000000" w:rsidP="00000000" w:rsidRDefault="00000000" w:rsidRPr="00000000" w14:paraId="0000000C">
      <w:pPr>
        <w:contextualSpacing w:val="0"/>
        <w:rPr/>
      </w:pPr>
      <w:r w:rsidDel="00000000" w:rsidR="00000000" w:rsidRPr="00000000">
        <w:rPr>
          <w:rtl w:val="0"/>
        </w:rPr>
        <w:t xml:space="preserve">Political Violence in Ancient India</w:t>
      </w:r>
    </w:p>
    <w:p w:rsidR="00000000" w:rsidDel="00000000" w:rsidP="00000000" w:rsidRDefault="00000000" w:rsidRPr="00000000" w14:paraId="0000000D">
      <w:pPr>
        <w:contextualSpacing w:val="0"/>
        <w:rPr/>
      </w:pPr>
      <w:r w:rsidDel="00000000" w:rsidR="00000000" w:rsidRPr="00000000">
        <w:rPr>
          <w:rtl w:val="0"/>
        </w:rPr>
        <w:t xml:space="preserve">by Upinder Singh</w:t>
      </w:r>
    </w:p>
    <w:p w:rsidR="00000000" w:rsidDel="00000000" w:rsidP="00000000" w:rsidRDefault="00000000" w:rsidRPr="00000000" w14:paraId="0000000E">
      <w:pPr>
        <w:contextualSpacing w:val="0"/>
        <w:rPr/>
      </w:pPr>
      <w:r w:rsidDel="00000000" w:rsidR="00000000" w:rsidRPr="00000000">
        <w:rPr>
          <w:rtl w:val="0"/>
        </w:rPr>
        <w:t xml:space="preserve">Harvard University Press, 598 pp., $45.00</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British Library</w:t>
      </w:r>
    </w:p>
    <w:p w:rsidR="00000000" w:rsidDel="00000000" w:rsidP="00000000" w:rsidRDefault="00000000" w:rsidRPr="00000000" w14:paraId="00000011">
      <w:pPr>
        <w:contextualSpacing w:val="0"/>
        <w:rPr/>
      </w:pPr>
      <w:r w:rsidDel="00000000" w:rsidR="00000000" w:rsidRPr="00000000">
        <w:rPr>
          <w:rtl w:val="0"/>
        </w:rPr>
        <w:t xml:space="preserve">‘Kusa and Lava defeating Bharata, Lakshmana, and the monkey army’; from the Razmnamah, a Persian translation of the Mahabharata, 1598</w:t>
      </w:r>
    </w:p>
    <w:p w:rsidR="00000000" w:rsidDel="00000000" w:rsidP="00000000" w:rsidRDefault="00000000" w:rsidRPr="00000000" w14:paraId="00000012">
      <w:pPr>
        <w:contextualSpacing w:val="0"/>
        <w:rPr/>
      </w:pPr>
      <w:r w:rsidDel="00000000" w:rsidR="00000000" w:rsidRPr="00000000">
        <w:rPr>
          <w:rtl w:val="0"/>
        </w:rPr>
        <w:t xml:space="preserve">In September 1673, Vijaya Raghava, the last king of the Nayaka dynasty of Tanjavur, in the far south of India, sauntered forth from his palace in a final, suicidal confrontation with enemies from the city-state of Madurai who had broken through the ramparts and entered the royal fort. Vijaya Raghava was eighty years old; his white hair was so long that his eyebrows had to be held up by golden wires so he could see. Strapping his sword over the gleaming jewels that covered his body, he threw himself into battle; but when he saw the enemy soldiers raising their (rather primitive) muskets to shoot at him, he cried out to their commander, “Order your men to fight only with swords and spears. Do you want to know why? Because a man who dies from some lousy bullet shot from a distance has no hope of entering heaven.” The Madurai general obliged, and Vijaya Raghava, calling out the name of his god, was cut down by the sword. There were reports that he was seen at that moment entering the god’s temple at Srirangam, some forty miles away, and merging into the stone image of the deity.1</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In the late seventeenth century, firearms were still something of a novelty in many parts of India. As we see in this story, they were regarded with disdain by warriors whose lives were shaped by a much older heroic ethos and who thought that shooting “some lousy bullet” was cowardly and unworthy. Such old-fashioned Indian warriors were not alone in this belief in the early modern world; the Egyptian Mamluks may have lost Egypt to the Ottoman Turks in the sixteenth century because of a similar attitude, as the great Mamluk historian David Ayalon famously argued.2 The seductive benefits of dying in battle, including being embraced at once by the beautiful dancing girls of the gods, were well known in ancient and medieval India; whole communities, such as the Rajasthani Rajputs, spent their lives seeking this glorious culmination. In Rajasthani epic, some of these warriors, afraid they might fail to achieve their goal, are said to have cut off their heads in advance and gone into battle without them or holding them under their arms, just in case.</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Anyone who has accepted at face value the notion that India, as a civilization, from ancient times up till Mahatma Gandhi, was devoted to an ideal of nonviolence should read Upinder Singh’s monumental Political Violence in Ancient India. Even a few pages will suffice to dispel the illusion. Indian history is as bloody as anywhere else’s. As Singh writes with stark simplicity: “A peaceful state never existed in South Asia.” She documents some three millennia of more or less continuous warfare as well as the ever-present coercive and punitive violence of the state. But in some sense, this work by one of India’s finest historians—the author of what is by far the best work of historical synthesis we have from the subcontinent3—is more about India’s present than about its long past. Perhaps that is always true of good historical thinking.</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How, then, did the pious image of a nonviolent India arise? We can always blame the Mahatma for this, even though Gandhi’s principle of satyagraha, literally “holding fast to the truth”—his name for nonviolent resistance to evil—was intended to be no less coercive, in its own way, than the overt use of force. Gandhi thought his method, based on an optimistic notion that human beings can be refashioned by example to become better than they usually are, was applicable anywhere there was severe, systemic oppression. He was wrong about that. Satyagraha works only when the opponent is at least minimally susceptible to large-scale protest informed by universal ethical values. It could never have been successful in Nazi Germany or, for that matter, in many other ruthless regimes. It is an entirely modern political concoction, the result of Gandhi’s experiments and improvisations in his South African days. Still, Gandhi was able to draw upon ancient roots in the Indian sources for a theory and practice of nonviolence. Such an ideal was, indeed, articulated early on and claimed a certain visibility in the culture.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Thus we have the king Ashoka, of the Maurya dynasty—the first large-scale state system in India, in the third century BC—who tells us in a set of autobiographical inscriptions reproduced on pillars, boulders, and walls throughout South Asia that after a bloody war he led against Kalinga, today’s Odisha on the eastern coast, he decided to renounce violence, or at least most forms of violence, forever. In his own words as they appear in the inscriptions:</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When Devanampiya Piyadassi [that is, Ashoka] had been consecrated eight years, he attained victory over the country of the Kalingas. One hundred and fifty thousand men were captured and deported, one hundred thousand were killed there, and many times this number died. After that, now that the Kalingas have been taken, Devanampiya is devoted to the ardent practice of dhamma, desire for dhamma and the teaching of dhamma. This is on account of the remorse [anusocana] of Devanampiya over the victory over the Kalingas.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Dhamma, or dharma in Sanskrit, means for Ashoka something like “ethical conduct.” A major component of it is compassion (dayā) for living beings and the vow not to harm them. In this, Ashoka is close to early Buddhism, which has always claimed him as one of its great patrons. Remorse is probably the rarest of all conscious emotions among kings and politicians of any period or persuasion; its mention in these inscriptions speaks to the distinctive timbre of this royal voice.</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Nonetheless, the Ashokan inscriptions are by no means unequivocal in their ethics. Notice that in the above passage, remorse only filters upward to the king’s mind “now that the Kalingas have been taken.” Practical politics still take precedence. Ashoka is also not above threatening to punish or even kill the forest peoples at the edges of his kingdom if they fail to obey his orders (to be nonviolent, for example—Rock Edict 13). He struggles to make the royal kitchens vegetarian, though two peacocks and a deer are still cooked for him each day. But to his credit it is his express hope that his sons and grandsons will refrain from military campaigns—or if they do go to war, that they should “take pleasure in mercy and inflict little force or punishment.” He tells us that only conquest through dhamma—perhaps including conquering one’s own self—can bring real satisfaction.</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Some of these texts, as Singh says, can be classed as political propaganda by a relatively weak king in need of support from an institution like the Buddhist community of monks, the sangha. Incidentally, later Buddhist tradition describes Ashoka as at first a sadistic megalomaniac whose character was largely transformed when he happened to meet a monk, Samudra, who had survived severe torture in one of the king’s prisons. Ashoka’s consequent conversion to Buddhism did not prevent him, however, according to the tradition, from executing tens of thousands of people who had the misfortune of belonging to some other religion (including the Jains, the main theoreticians of nonviolence in ancient India). One lesson to be learned from the Buddhist legends is that Buddhism was, almost from the start, profoundly political at its very core, as we can see even today in the Theravada countries of Southeast Asia.</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Singh is right to claim that the Ashokan edicts represent “the starting point of mainstream classical Indian political thought,” even if many of the major texts on kingship and politics composed a little later seem strongly at odds with the moral stance articulated in these inscriptions. Such is the case, for example, with the Arthashastra, the classical Indian “Book of Statecraft” attributed to the theorist Kautilya (his name appropriately means “crooked” or “crafty”). Singh’s introduction to this subtle, always astonishing book, one of the most interesting ever composed in India, contains a wild understatement: “Kautilya…is not squeamish about the use of all force and killing that are necessary to protect the king and kingdom from internal and external enemies.” Not only is this hyper-Machiavellian theorist not squeamish; he inhabits a dog-eat-dog kingdom (“fish eat fish” is the usual Indian metaphor) in which no one is above suspicion and everyone is vulnerable to sudden assassination by the vast shadowy army of secret agents and informers that keeps the state going; ruthless utility in such cases overrides all possible ethical scruples. A principle of unabashed craftiness driven by self-interest applies to all levels of political life; truthfulness is seen, in general, as a mostly irrelevant virtue (or even a fault), although a prince should be trained in logic or “critical inquiry”4 and might thus be expected to know that there is such a thing as truth, in marked contrast to various leaders today.</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Patrick Olivelle, who has recently given us a magnificent translation of the Book of Statecraft, dates the text in its present form to the second century AD, though its core materials are considerably older. Both the core and its later editorial redactions are saturated with violence as a necessary, organizing principle of political life. “The most striking aspect of Kautilya’s potential state is that it is an extremely intrusive one and this intrusiveness involves the use or the threat of force,” Singh writes. Yet even here we find an assertion that what is called mantra—deliberation, wise counsel, intelligent analysis—is ultimately more effective than the exercise of brute force (or royal power, prabhu-shakti). Note that this conclusion is entirely pragmatic, not rooted in moral considerations.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It is a moral quandary, though, that dominates the great 100,000-verse-long Sanskrit epic the Mahabharata, whose central hero—the tormented king Yudhisthira—can’t make up his mind whether to fight for his stolen kingdom at the cost of cataclysmic destruction or to turn his back on politics forever and go off to meditate and do yoga in the wilderness. In effect, his dilemma is insoluble: the world cannot survive without kingly violence, but the price of such action is always too high. If we think of the epic as providing a vast laboratory for social experiment or as shaping an enduring public space, then it is important to note that the ideal of a life that does not inflict violence on anything alive occupies a point in the deep center of Indian political sensibility, whatever the realities of any given historical moment may have been.</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That ideal owes much to the Jain monks who first articulated it clearly in its most extreme form: ahimsa, refraining from violence, is meant to guide the monk or nun in all his or her actions and thoughts; the entire world—including stones, air, and water—is alive with living beings, and harm inflicted on any of them will inevitably rebound onto the actor, coloring his inner being with a sticky black residue that will pursue him through many lifetimes. Gandhi, who grew up in the Jain stronghold of Gujarat on the western coast, was no doubt aware of this way of thinking.</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One could go further back in time and seek the origins of such ideas in the extreme sensitivity to violence and suffering evident in the later strata of the Vedic canon (from the early centuries of the first millennium BC). For Vedic thinkers, all that lives survives by consuming other living beings. Humans, too, have a hungry fire burning in their bellies; they have to sacrifice other creatures to that fire every day if they are going to stay alive. Sacrifice thus provides a root paradigm for existence itself, and it is no wonder that, according to the Veda, the world was created in a sacrificial act of one kind or another—either the destruction of a primordial enemy or the self-dismemberment of the original all-encompassing deity who, fragmented, becomes the universe. Both cases are heavy with consequential violence, perhaps capable of being healed, in the latter case by ritually recomposing the shattered god in the sacrificer’s mind and in the altar of bricks that he builds. Without violence there is no world; insofar as there is a world, it is a broken one, entropic and continually subject to widening gaps, discontinuities, and devastating wounds.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We can also find, in many historical South Asian settings, voices raised in overt or thinly veiled protest against both sacrificial and military violence. The Buddhists mocked the cruelty and what they considered the false causality built into Brahminical sacrificial rites. Thinkers from the orthodox Mimamsa school of ritual exegesis went to great lengths to persuade themselves that sacrificing an animal, as the Veda recommends, should not be classed as violence; the fact that they felt it necessary to argue this itself indicates a certain embarrassment. Sometimes protest emerged from within a milieu ostensibly shaped by heroic values (as it does in Book 24 of the Iliad). Among the ancient Tamil poems of war, often savage in tone, there are moving laments for dying warriors such as this one, by the poet Ponmutiyar, speaking in a mother’s persona:</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Once</w:t>
      </w:r>
    </w:p>
    <w:p w:rsidR="00000000" w:rsidDel="00000000" w:rsidP="00000000" w:rsidRDefault="00000000" w:rsidRPr="00000000" w14:paraId="00000031">
      <w:pPr>
        <w:contextualSpacing w:val="0"/>
        <w:rPr/>
      </w:pPr>
      <w:r w:rsidDel="00000000" w:rsidR="00000000" w:rsidRPr="00000000">
        <w:rPr>
          <w:rtl w:val="0"/>
        </w:rPr>
        <w:t xml:space="preserve">we would bring him milk, and if he didn’t feel</w:t>
      </w:r>
    </w:p>
    <w:p w:rsidR="00000000" w:rsidDel="00000000" w:rsidP="00000000" w:rsidRDefault="00000000" w:rsidRPr="00000000" w14:paraId="00000032">
      <w:pPr>
        <w:contextualSpacing w:val="0"/>
        <w:rPr/>
      </w:pPr>
      <w:r w:rsidDel="00000000" w:rsidR="00000000" w:rsidRPr="00000000">
        <w:rPr>
          <w:rtl w:val="0"/>
        </w:rPr>
        <w:t xml:space="preserve">like drinking it, we’d raise a stick, without anger,</w:t>
      </w:r>
    </w:p>
    <w:p w:rsidR="00000000" w:rsidDel="00000000" w:rsidP="00000000" w:rsidRDefault="00000000" w:rsidRPr="00000000" w14:paraId="00000033">
      <w:pPr>
        <w:contextualSpacing w:val="0"/>
        <w:rPr/>
      </w:pPr>
      <w:r w:rsidDel="00000000" w:rsidR="00000000" w:rsidRPr="00000000">
        <w:rPr>
          <w:rtl w:val="0"/>
        </w:rPr>
        <w:t xml:space="preserve">to scare him, and in truth he’d be afraid.</w:t>
      </w:r>
    </w:p>
    <w:p w:rsidR="00000000" w:rsidDel="00000000" w:rsidP="00000000" w:rsidRDefault="00000000" w:rsidRPr="00000000" w14:paraId="00000034">
      <w:pPr>
        <w:contextualSpacing w:val="0"/>
        <w:rPr/>
      </w:pPr>
      <w:r w:rsidDel="00000000" w:rsidR="00000000" w:rsidRPr="00000000">
        <w:rPr>
          <w:rtl w:val="0"/>
        </w:rPr>
        <w:t xml:space="preserve">Now,</w:t>
      </w:r>
    </w:p>
    <w:p w:rsidR="00000000" w:rsidDel="00000000" w:rsidP="00000000" w:rsidRDefault="00000000" w:rsidRPr="00000000" w14:paraId="00000035">
      <w:pPr>
        <w:contextualSpacing w:val="0"/>
        <w:rPr/>
      </w:pPr>
      <w:r w:rsidDel="00000000" w:rsidR="00000000" w:rsidRPr="00000000">
        <w:rPr>
          <w:rtl w:val="0"/>
        </w:rPr>
        <w:t xml:space="preserve">Oh aching heart,</w:t>
      </w:r>
    </w:p>
    <w:p w:rsidR="00000000" w:rsidDel="00000000" w:rsidP="00000000" w:rsidRDefault="00000000" w:rsidRPr="00000000" w14:paraId="00000036">
      <w:pPr>
        <w:contextualSpacing w:val="0"/>
        <w:rPr/>
      </w:pPr>
      <w:r w:rsidDel="00000000" w:rsidR="00000000" w:rsidRPr="00000000">
        <w:rPr>
          <w:rtl w:val="0"/>
        </w:rPr>
        <w:t xml:space="preserve">that same boy who has killed many elephants</w:t>
      </w:r>
    </w:p>
    <w:p w:rsidR="00000000" w:rsidDel="00000000" w:rsidP="00000000" w:rsidRDefault="00000000" w:rsidRPr="00000000" w14:paraId="00000037">
      <w:pPr>
        <w:contextualSpacing w:val="0"/>
        <w:rPr/>
      </w:pPr>
      <w:r w:rsidDel="00000000" w:rsidR="00000000" w:rsidRPr="00000000">
        <w:rPr>
          <w:rtl w:val="0"/>
        </w:rPr>
        <w:t xml:space="preserve">gray as dust, this boy from a line of warriors</w:t>
      </w:r>
    </w:p>
    <w:p w:rsidR="00000000" w:rsidDel="00000000" w:rsidP="00000000" w:rsidRDefault="00000000" w:rsidRPr="00000000" w14:paraId="00000038">
      <w:pPr>
        <w:contextualSpacing w:val="0"/>
        <w:rPr/>
      </w:pPr>
      <w:r w:rsidDel="00000000" w:rsidR="00000000" w:rsidRPr="00000000">
        <w:rPr>
          <w:rtl w:val="0"/>
        </w:rPr>
        <w:t xml:space="preserve">who fell in battle long ago, lies on his shield</w:t>
      </w:r>
    </w:p>
    <w:p w:rsidR="00000000" w:rsidDel="00000000" w:rsidP="00000000" w:rsidRDefault="00000000" w:rsidRPr="00000000" w14:paraId="00000039">
      <w:pPr>
        <w:contextualSpacing w:val="0"/>
        <w:rPr/>
      </w:pPr>
      <w:r w:rsidDel="00000000" w:rsidR="00000000" w:rsidRPr="00000000">
        <w:rPr>
          <w:rtl w:val="0"/>
        </w:rPr>
        <w:t xml:space="preserve">and says, “I don’t feel the wound</w:t>
      </w:r>
    </w:p>
    <w:p w:rsidR="00000000" w:rsidDel="00000000" w:rsidP="00000000" w:rsidRDefault="00000000" w:rsidRPr="00000000" w14:paraId="0000003A">
      <w:pPr>
        <w:contextualSpacing w:val="0"/>
        <w:rPr/>
      </w:pPr>
      <w:r w:rsidDel="00000000" w:rsidR="00000000" w:rsidRPr="00000000">
        <w:rPr>
          <w:rtl w:val="0"/>
        </w:rPr>
        <w:t xml:space="preserve">or the arrow that caused it.” His hair</w:t>
      </w:r>
    </w:p>
    <w:p w:rsidR="00000000" w:rsidDel="00000000" w:rsidP="00000000" w:rsidRDefault="00000000" w:rsidRPr="00000000" w14:paraId="0000003B">
      <w:pPr>
        <w:contextualSpacing w:val="0"/>
        <w:rPr/>
      </w:pPr>
      <w:r w:rsidDel="00000000" w:rsidR="00000000" w:rsidRPr="00000000">
        <w:rPr>
          <w:rtl w:val="0"/>
        </w:rPr>
        <w:t xml:space="preserve">is like a horse’s mane, his beard</w:t>
      </w:r>
    </w:p>
    <w:p w:rsidR="00000000" w:rsidDel="00000000" w:rsidP="00000000" w:rsidRDefault="00000000" w:rsidRPr="00000000" w14:paraId="0000003C">
      <w:pPr>
        <w:contextualSpacing w:val="0"/>
        <w:rPr/>
      </w:pPr>
      <w:r w:rsidDel="00000000" w:rsidR="00000000" w:rsidRPr="00000000">
        <w:rPr>
          <w:rtl w:val="0"/>
        </w:rPr>
        <w:t xml:space="preserve">far from full.5</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It’s hard for us to read this poem without hearing an undertone of sorrowful skepticism about the point of all these battles; the Tamil tradition, however, classes it, in the colophon, as an example of steadfast perseverance and the topos of “slaying in heaps.” Perhaps the scholiasts couldn’t bring themselves to acknowledge the overwhelming pain of youthful death in war.</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Upinder Singh’s book is something like an encyclopedia of Indian violence. Pages roll by as the body count rises, with more and more examples drawn from royal inscriptions, Sanskrit literary works,6 and theoretical treatises like the Arthashastra and later handbooks on niti, practical wisdom. The sheer weight of the evidence would lead any reader to conclude that India was and probably still is a very violent place indeed. However, the modes and categories Singh suggests have a tendency to run together; perhaps the blanket conclusion is unwarranted. At the very least we have to distinguish normative political violence, always present in state formation, state expansion, and interstate conflicts, from what we might call violence for its own sake. This latter sort of violence is understood as imparting yashas, a blinding white glory, to the hero, and is felt to be somehow beautiful—a notion that may require a little explication.</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No one who has been to war is likely to think of it as suffused with beauty. Nonetheless, descriptions of the battlefield in all premodern Indian literatures clearly delight in depicting scenes of gore (often said to resemble the beloved battles of the boudoir, or vice versa). One of the first books I read from classical Tamil was the twelfth-century masterpiece by Cayankondar, Kalinkattupparani (The Kalinga Campaign), which describes an expedition from the southern Chola kingdom to the Odisha coast, far to the north. My teacher, the great Tamilist John Marr, though he didn’t much like this grisly work, insisted that his students read it as a sample of the Tamil taste for the lurid, the surreal, and the grotesque.</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The book is not without its whimsical moments: after the battle, the headless bodies of slain heroes dance on the battlefield together with the hungry, carnivorous demons about to devour them; the latter have even set up a field kitchen where they can cook a nourishing broth of blood, brains, flesh, fingernails, horses’ teeth, and other delicacies. However, like any other Indian society, these demons have social divisions, particularly pronounced in relation to their diet: there are Jain ghouls who eat only one meal a day and must have their soup strained to remove any defiling hairs; their Buddhist colleagues, given to abstract intellection, will eat only cooked brains.</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‘Five-faced Shiva’; painting from Mandi, Punjab Hills, India, circa 1730–1740</w:t>
      </w:r>
    </w:p>
    <w:p w:rsidR="00000000" w:rsidDel="00000000" w:rsidP="00000000" w:rsidRDefault="00000000" w:rsidRPr="00000000" w14:paraId="00000048">
      <w:pPr>
        <w:contextualSpacing w:val="0"/>
        <w:rPr/>
      </w:pPr>
      <w:r w:rsidDel="00000000" w:rsidR="00000000" w:rsidRPr="00000000">
        <w:rPr>
          <w:rtl w:val="0"/>
        </w:rPr>
        <w:t xml:space="preserve">For poets like Cayankondar, war can be radically aestheticized and, at the same time, parodied. Perhaps there is a deeper theme here, one explored by the intrepid anthropologist Margaret Trawick in what is, in my view, the most creative analysis of South Asian violence that has appeared in recent years.7 Trawick worked in northeastern Sri Lanka at the height of the civil war, from 1997 to 1998, when the Tamil Tigers ruled the northeastern coast and were fighting the Sri Lankan army. She lived among these warriors and quotes them at length. She observes a conceptual affinity in Sri Lankan Tamil culture between warfare and play, vilaiyattu, in the sense that combat can be seen as a game without fixed rules, something perhaps akin to the game of dice that, in classical Indian thought, is the main preoccupation of the god Shiva. Trawick is talking about war as an idea that might color or shape the actual, inevitably traumatic, experience of the combatants. Some of the interviews with the Tiger soldiers that she records could come straight out of the playful, often ironic verses of the Kalinkattupparani; for that matter, the Mahabharata also asserts that soldiers go dancing into battle.</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No one should assume that the notion of violence as play can broadly characterize or meaningfully explain the endemic warfare of South Asian history. One significant mode of South Asian violence that this notion leaves out is that of fanatical sectarian acts of slaughter. There is still a prevalent, rather romantic view that South Asian civilization is distinctive in its propensity for religious tolerance. I can only wish that this view were true—and I hasten to say that there were and are cultural zones in the subcontinent where a remarkable tolerance of religious diversity has, for long periods, been the norm.</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But to be fair to the historical record, we have to take seriously such works as the Telugu Basava-puranamu, a hagiography of the reformist founder of the Virasaiva or Lingayat sect (twelfth-century Karnataka).8 The militant devotees of the god Shiva who figure in this work—probably the most violent book I have ever read—are only too eager to kill their Jain enemies along with any other human beings who are not prepared to accept the burning conviction that Shiva, in a particular guise, is the one true god. It seems that monotheism naturally generates such a wish. Tamil traditions also revel in descriptions of how the kings and poet-saints of the early medieval south impaled thousands of Jain unbelievers in the city of Madurai. Whether such sources reflect a particular historical reality or not is an open question; but there is, unfortunately, no dearth of evidence for bloody sectarian, interreligious, intercommunal conflict throughout South Asia over the last millennium or so. The scourge is still active today.</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So we have a history of more or less continuous violence and, at the same time, a conspicuous civilizational strand proclaiming the superior value of ahimsa, a nonviolent way of being. And we know that the Mahatma reaffirmed this ideal and succeeded in galvanizing millions to political action based upon it. Did Gandhi internalize in his Gujarati childhood the Jain ideal of noninjury to all that lives? Did he know something of Ashoka’s renunciation of warfare? Perhaps. We should, however, bear in mind that Gandhi’s favorite book was the Bhagavad Gita, a section of the Mahabharata in which the god Krishna works hard to persuade the hero Arjuna, who is depressed at the thought of the coming apocalyptic war, that a hero’s duty is to go into battle and, in general, to act without being attached to the results of his action. Gandhi, of course, had his own way of reading this book. The more immediate sources of his political methodology were, however, the later Tolstoy, Thoreau, and other Western figures. Perhaps it doesn’t much matter how he arrived—mostly by trial and error—at the methods that we now associate with his name.</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There remains, however, a nagging historical question: Did Gandhi’s nonviolent campaigns play a major part in driving the British out of their Indian colony, as we are supposed to learn, for example, from Richard Attenborough’s popular film on Gandhi? Many modern historians tend to doubt this. The British had their own good reasons for ending the imperial adventure in the changed international climate after World War II. What, then, are we to make of the Gandhian legacy in independent India, hardly an exemplary embodiment of peace, selfless renunciation, and tolerance?</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Some years ago I gave a lecture in Ahmedabad about the Israeli peace movement Ta’ayush, which has adopted Gandhian methods in resisting the Israeli occupation of the West Bank. My audience of Gujarati intellectuals and activists, including Achyut Yagnik, one of the last truly effective Gandhians in India, reacted bitterly. “Gandhi and the Gandhian way,” they said, “are totally dead in Gujarat.” “Yes,” I said, “but he has been reborn in the Palestinian village of Bil’in on the West Bank.” Gandhian-style protest in Bil’in, by the way, was ultimately successful in forcing Israel to return a huge chunk of village land that had been stolen by settlers and the army at the time the so-called Separation Wall was built. As I have said, and as Gandhi repeatedly showed in particular campaigns, consistent nonviolent political action that is driven by true ethical goals may well be a particularly effective form of coercion within a political arena not entirely indifferent to moral considerations.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Upinder Singh’s enormous study is focused on political violence in India; and yet it inevitably pushes us beyond the political to the deeper ethical problems bound up with violence. For example: Is it really possible to separate political violence from social violence, as when one group is severely repressed or persecuted by other parts of society? Gandhi’s sometime ally, sometime nemesis, B.R. Ambedkar, the great champion of the Dalits (once called the Untouchables) and one of the architects of the Indian constitution, thought the two domains were inextricably intertwined. Ambedkar also clearly distinguished between violence and the idea of force, which he understood as being constituted by a strong paradoxical tension between an emancipatory impulse toward freedom and movement and a reactive and constraining impulse toward repression.9 Ambedkar sought an even more radical kind of nonviolence than Gandhi’s, a forceful, revolutionary egalitarianism that he identified with the deeper meaning of ahimsa. This view is alive and well in Indian intellectual circles, though increasingly overshadowed in the political sphere by an ever more virulent communalism, useful to the state in its Kautilyan mode.</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I once asked Jyotirmaya Sharma, a professor of political philosophy at the University of Hyderabad and an eminent historian of modern Indian thought, whether he believed Gandhi still mattered in an India that has obviously left him far behind. He said that what mattered was not the practical legacy of nonviolent political action but rather the still-vital moral idea of nonviolence in the Indian public sphere. I think he is right about this. We should never underestimate the subversive and causal potency of an idea, or of an ideal.</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In this respect, India, despite most of its history, may indeed constitute something of an exception among modern nation states. Upinder Singh concludes her somewhat lugubrious volume by suggesting that the unique feature of Indian civilization is the simultaneous presence, throughout the centuries, of both an objective and absolute moral vision and an instrumental, situational theory of political action. Along with this mixture of ethics and practical necessity, we find the “intensity and longevity of the discussion of violence and nonviolence, both at the individual and the political level.”</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Singh thinks that this ongoing, volatile discourse is not found anywhere else in the world with such intensity. One may well doubt this conclusion. But there is still something hopeful to be said about the long-standing, lucid formulation of ahimsa in Indian texts and, to some extent at least, in documented practice. This ideal was never the mainstream, not even in Gandhi’s time, but neither did it ever lose its potentially unnerving power over South Asian minds.</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1</w:t>
      </w:r>
    </w:p>
    <w:p w:rsidR="00000000" w:rsidDel="00000000" w:rsidP="00000000" w:rsidRDefault="00000000" w:rsidRPr="00000000" w14:paraId="0000005D">
      <w:pPr>
        <w:contextualSpacing w:val="0"/>
        <w:rPr/>
      </w:pPr>
      <w:r w:rsidDel="00000000" w:rsidR="00000000" w:rsidRPr="00000000">
        <w:rPr>
          <w:rFonts w:ascii="Arial Unicode MS" w:cs="Arial Unicode MS" w:eastAsia="Arial Unicode MS" w:hAnsi="Arial Unicode MS"/>
          <w:rtl w:val="0"/>
        </w:rPr>
        <w:t xml:space="preserve">Tanjavur andhra rajula caritramu, cited by Velcheru Narayana Rao, David Shulman, and Sanjay Subrahmanyam, Symbols of Substance: Court and State in Nayaka-Period Tamil Nadu (Delhi: Oxford University Press, 1992).  ↩</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2</w:t>
      </w:r>
    </w:p>
    <w:p w:rsidR="00000000" w:rsidDel="00000000" w:rsidP="00000000" w:rsidRDefault="00000000" w:rsidRPr="00000000" w14:paraId="00000060">
      <w:pPr>
        <w:contextualSpacing w:val="0"/>
        <w:rPr/>
      </w:pPr>
      <w:r w:rsidDel="00000000" w:rsidR="00000000" w:rsidRPr="00000000">
        <w:rPr>
          <w:rFonts w:ascii="Arial Unicode MS" w:cs="Arial Unicode MS" w:eastAsia="Arial Unicode MS" w:hAnsi="Arial Unicode MS"/>
          <w:rtl w:val="0"/>
        </w:rPr>
        <w:t xml:space="preserve">David Ayalon, Gunpowder and Firearms in the Mamluk Kingdom: A Challenge to a Mediaeval Society (London: Frank Cass, 1978).﻿  ↩</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3</w:t>
      </w:r>
    </w:p>
    <w:p w:rsidR="00000000" w:rsidDel="00000000" w:rsidP="00000000" w:rsidRDefault="00000000" w:rsidRPr="00000000" w14:paraId="00000063">
      <w:pPr>
        <w:contextualSpacing w:val="0"/>
        <w:rPr/>
      </w:pPr>
      <w:r w:rsidDel="00000000" w:rsidR="00000000" w:rsidRPr="00000000">
        <w:rPr>
          <w:rFonts w:ascii="Arial Unicode MS" w:cs="Arial Unicode MS" w:eastAsia="Arial Unicode MS" w:hAnsi="Arial Unicode MS"/>
          <w:rtl w:val="0"/>
        </w:rPr>
        <w:t xml:space="preserve">Upinder Singh, A History of Ancient and Early Medieval India: From the Stone Age to the 12th Century (Pearson, 2008).﻿  ↩</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4</w:t>
      </w:r>
    </w:p>
    <w:p w:rsidR="00000000" w:rsidDel="00000000" w:rsidP="00000000" w:rsidRDefault="00000000" w:rsidRPr="00000000" w14:paraId="00000066">
      <w:pPr>
        <w:contextualSpacing w:val="0"/>
        <w:rPr/>
      </w:pPr>
      <w:r w:rsidDel="00000000" w:rsidR="00000000" w:rsidRPr="00000000">
        <w:rPr>
          <w:rFonts w:ascii="Arial Unicode MS" w:cs="Arial Unicode MS" w:eastAsia="Arial Unicode MS" w:hAnsi="Arial Unicode MS"/>
          <w:rtl w:val="0"/>
        </w:rPr>
        <w:t xml:space="preserve">Thus Patrick Olivelle, King, Governance, and Law in Ancient India: Kautilya’s Arthasastra (Oxford University Press, 2013).﻿  ↩</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5</w:t>
      </w:r>
    </w:p>
    <w:p w:rsidR="00000000" w:rsidDel="00000000" w:rsidP="00000000" w:rsidRDefault="00000000" w:rsidRPr="00000000" w14:paraId="00000069">
      <w:pPr>
        <w:contextualSpacing w:val="0"/>
        <w:rPr/>
      </w:pPr>
      <w:r w:rsidDel="00000000" w:rsidR="00000000" w:rsidRPr="00000000">
        <w:rPr>
          <w:rFonts w:ascii="Arial Unicode MS" w:cs="Arial Unicode MS" w:eastAsia="Arial Unicode MS" w:hAnsi="Arial Unicode MS"/>
          <w:rtl w:val="0"/>
        </w:rPr>
        <w:t xml:space="preserve">This is number 310 from the classical Purananuru anthology of Tamil heroic poetry (probably from the early centuries AD); my translation.﻿﻿  ↩</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6</w:t>
      </w:r>
    </w:p>
    <w:p w:rsidR="00000000" w:rsidDel="00000000" w:rsidP="00000000" w:rsidRDefault="00000000" w:rsidRPr="00000000" w14:paraId="0000006C">
      <w:pPr>
        <w:contextualSpacing w:val="0"/>
        <w:rPr/>
      </w:pPr>
      <w:r w:rsidDel="00000000" w:rsidR="00000000" w:rsidRPr="00000000">
        <w:rPr>
          <w:rFonts w:ascii="Arial Unicode MS" w:cs="Arial Unicode MS" w:eastAsia="Arial Unicode MS" w:hAnsi="Arial Unicode MS"/>
          <w:rtl w:val="0"/>
        </w:rPr>
        <w:t xml:space="preserve">A minor point: she quotes extensively from Sanskrit plays supposedly composed by the ancient poet Bhasa, but in fact these works have been shown, conclusively in my view, to belong to the medieval period and, in most cases, to Kerala and its still surviving Sanskrit theater, Kudiyattam.﻿  ↩</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7</w:t>
      </w:r>
    </w:p>
    <w:p w:rsidR="00000000" w:rsidDel="00000000" w:rsidP="00000000" w:rsidRDefault="00000000" w:rsidRPr="00000000" w14:paraId="0000006F">
      <w:pPr>
        <w:contextualSpacing w:val="0"/>
        <w:rPr/>
      </w:pPr>
      <w:r w:rsidDel="00000000" w:rsidR="00000000" w:rsidRPr="00000000">
        <w:rPr>
          <w:rFonts w:ascii="Arial Unicode MS" w:cs="Arial Unicode MS" w:eastAsia="Arial Unicode MS" w:hAnsi="Arial Unicode MS"/>
          <w:rtl w:val="0"/>
        </w:rPr>
        <w:t xml:space="preserve">Margaret Trawick, Enemy Lines: Warfare, Childhood, and Play in Batticaloa (University of California Press, 2007).  ↩</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8</w:t>
      </w:r>
    </w:p>
    <w:p w:rsidR="00000000" w:rsidDel="00000000" w:rsidP="00000000" w:rsidRDefault="00000000" w:rsidRPr="00000000" w14:paraId="00000072">
      <w:pPr>
        <w:contextualSpacing w:val="0"/>
        <w:rPr/>
      </w:pPr>
      <w:r w:rsidDel="00000000" w:rsidR="00000000" w:rsidRPr="00000000">
        <w:rPr>
          <w:rtl w:val="0"/>
        </w:rPr>
        <w:t xml:space="preserve">See the translation by Velcheru Narayana Rao (with the assistance of Gene Roghair), Śiva’s Warriors: The Basava Purana of Palkuriki Somanatha (Princeton University Press, 1990).﻿  ↩</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9</w:t>
      </w:r>
    </w:p>
    <w:p w:rsidR="00000000" w:rsidDel="00000000" w:rsidP="00000000" w:rsidRDefault="00000000" w:rsidRPr="00000000" w14:paraId="00000075">
      <w:pPr>
        <w:contextualSpacing w:val="0"/>
        <w:rPr/>
      </w:pPr>
      <w:r w:rsidDel="00000000" w:rsidR="00000000" w:rsidRPr="00000000">
        <w:rPr>
          <w:rFonts w:ascii="Arial Unicode MS" w:cs="Arial Unicode MS" w:eastAsia="Arial Unicode MS" w:hAnsi="Arial Unicode MS"/>
          <w:rtl w:val="0"/>
        </w:rPr>
        <w:t xml:space="preserve">See the excellent study by Aishwary Kumar, Radical Equality: Ambedkar, Gandhi, and the Risk of Democracy (Stanford University Press, 2015), p. 112.﻿ ↩</w:t>
      </w:r>
    </w:p>
    <w:p w:rsidR="00000000" w:rsidDel="00000000" w:rsidP="00000000" w:rsidRDefault="00000000" w:rsidRPr="00000000" w14:paraId="00000076">
      <w:pPr>
        <w:contextualSpacing w:val="0"/>
        <w:rPr/>
      </w:pPr>
      <w:r w:rsidDel="00000000" w:rsidR="00000000" w:rsidRPr="00000000">
        <w:rPr>
          <w:rtl w:val="0"/>
        </w:rPr>
        <w:t xml:space="preserve"> -------------</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‘Being Charlie’</w:t>
      </w:r>
    </w:p>
    <w:p w:rsidR="00000000" w:rsidDel="00000000" w:rsidP="00000000" w:rsidRDefault="00000000" w:rsidRPr="00000000" w14:paraId="00000079">
      <w:pPr>
        <w:contextualSpacing w:val="0"/>
        <w:rPr/>
      </w:pPr>
      <w:r w:rsidDel="00000000" w:rsidR="00000000" w:rsidRPr="00000000">
        <w:rPr>
          <w:rtl w:val="0"/>
        </w:rPr>
        <w:t xml:space="preserve">Laura Marsh APRIL 5, 2018 ISSUE</w:t>
      </w:r>
    </w:p>
    <w:p w:rsidR="00000000" w:rsidDel="00000000" w:rsidP="00000000" w:rsidRDefault="00000000" w:rsidRPr="00000000" w14:paraId="0000007A">
      <w:pPr>
        <w:contextualSpacing w:val="0"/>
        <w:rPr/>
      </w:pPr>
      <w:r w:rsidDel="00000000" w:rsidR="00000000" w:rsidRPr="00000000">
        <w:rPr>
          <w:rtl w:val="0"/>
        </w:rPr>
        <w:t xml:space="preserve">The Naughty Nineties: The Triumph of the American Libido</w:t>
      </w:r>
    </w:p>
    <w:p w:rsidR="00000000" w:rsidDel="00000000" w:rsidP="00000000" w:rsidRDefault="00000000" w:rsidRPr="00000000" w14:paraId="0000007B">
      <w:pPr>
        <w:contextualSpacing w:val="0"/>
        <w:rPr/>
      </w:pPr>
      <w:r w:rsidDel="00000000" w:rsidR="00000000" w:rsidRPr="00000000">
        <w:rPr>
          <w:rtl w:val="0"/>
        </w:rPr>
        <w:t xml:space="preserve">by David Friend</w:t>
      </w:r>
    </w:p>
    <w:p w:rsidR="00000000" w:rsidDel="00000000" w:rsidP="00000000" w:rsidRDefault="00000000" w:rsidRPr="00000000" w14:paraId="0000007C">
      <w:pPr>
        <w:contextualSpacing w:val="0"/>
        <w:rPr/>
      </w:pPr>
      <w:r w:rsidDel="00000000" w:rsidR="00000000" w:rsidRPr="00000000">
        <w:rPr>
          <w:rtl w:val="0"/>
        </w:rPr>
        <w:t xml:space="preserve">Twelve, 631 pp., $32.00</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Dirk Halstead/Getty Images</w:t>
      </w:r>
    </w:p>
    <w:p w:rsidR="00000000" w:rsidDel="00000000" w:rsidP="00000000" w:rsidRDefault="00000000" w:rsidRPr="00000000" w14:paraId="0000007F">
      <w:pPr>
        <w:contextualSpacing w:val="0"/>
        <w:rPr/>
      </w:pPr>
      <w:r w:rsidDel="00000000" w:rsidR="00000000" w:rsidRPr="00000000">
        <w:rPr>
          <w:rtl w:val="0"/>
        </w:rPr>
        <w:t xml:space="preserve">President Bill Clinton with Monica Lewinsky at a fund-raiser, Washington, D.C., October 1996</w:t>
      </w:r>
    </w:p>
    <w:p w:rsidR="00000000" w:rsidDel="00000000" w:rsidP="00000000" w:rsidRDefault="00000000" w:rsidRPr="00000000" w14:paraId="00000080">
      <w:pPr>
        <w:contextualSpacing w:val="0"/>
        <w:rPr/>
      </w:pPr>
      <w:r w:rsidDel="00000000" w:rsidR="00000000" w:rsidRPr="00000000">
        <w:rPr>
          <w:rtl w:val="0"/>
        </w:rPr>
        <w:t xml:space="preserve">The summer of 1998, Philip Roth began his novel The Human Stain, “was the summer when a president’s penis was on everyone’s mind”; 1998 was also the year when Pfizer signed up Bob Dole, who had run for president against Bill Clinton two years earlier, to promote its new drug, Viagra. The barriers to talking explicitly and publicly about sex had been falling for several years. In the early 1990s, the rap group 2 Live Crew had been acquitted of obscenity charges for performing their album As Nasty as They Wanna Be. The Contemporary Arts Center in Cincinnati and its director won a similar victory when they were tried for exhibiting photographs from Robert Mapplethorpe’s X Portfolio. By 1999, over two thirds of evening TV shows contained sexual content, an increase of 12 percent over the previous year.</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If sex had a defining feature in the 1990s, it was ubiquity. In his new book The Naughty Nineties: Triumph of the American Libido, David Friend locates that decade as the moment when Americans finally brought sexuality into the open, realizing the promise of the sexual revolution of the 1960s and coming “to accept themselves as profoundly sexual creatures.” It was an era of sexual fads and experimentation: the booty call, the Brazilian wax, and the sex tape belong to the 1990s; so does cybersex, along with all the exhibitionism and voyeurism unleashed in furtive chat rooms and, later, on webcams. It was also an era of self-improvement, as Spanx, the Wonderbra, and Botox came to market, along with Androderm and Rogaine for men.</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A Vanity Fair writer and the former director of photography at Life, Friend largely constructs his account of all this from movies, TV shows, and glossy-magazine clippings. The years pass in a whirl of sexy, glamorous provocation, as a pregnant Demi Moore poses naked for Annie Leibovitz and Madonna releases an artsy softcore photo book. Famous people making bold statements dominate his narrative, which skitters along the surfaces of national life. Rarely does he swoop close enough to the ground to inspect the power dynamics that most people have to navigate in their social and professional worlds.</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Those dynamics have lately become harder to ignore. The Naughty Nineties was published in September, three weeks before The New York Times printed its first story on Harvey Weinstein’s systematic assault and harassment of women he worked with. The months that followed have brought news of highly placed editors, directors, restaurateurs, politicians, and radio personalities who used their position to wield sexual power at work, whether by force or tacit coercion. In #MeToo posts, thousands of women started to air their experiences of life in the so-called gray areas: the ambush tactics when bosses converted business lunches into dates or demanded a massage on the casting couch, the dangling of career incentives, and the threats of career ruin. It is difficult, they have insisted, for anyone to find a sense of freedom while beating back unwanted advances that remind them who is in charge.</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Plenty of the men recently accused loomed large in American culture in the 1990s. Harvey Weinstein’s Miramax pumped out blockbuster movies. Charlie Rose got his first solo TV show. Al Franken began to joke about running for office. Donald Trump was everywhere, from guest appearances on The Fresh Prince of Bel-Air and Wrestlemania to the Miss Universe pageants. Friend has published what reads like the authorized biography of a decade just as the unauthorized counternarrative is surging on a wave of reporting and reckoning. His book is valuable precisely because it records what so many people believed, until just now, about the state of sex in the 1990s, the images that guided them, and the realities they overlooked.</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The explosion of sexuality in 1990s America was, according to Friend, all but fated. “The Naughty Nineties,” he writes,</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were a fin de siècle inflection point when an array of forces aligned…and prompted a customarily prudish nation to face its deep fascination with, and trepidations toward, human sexuality in all of its complexity and ubiquity.</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The sexual revolution had decoupled sex from marriage and the family a generation earlier, so that a sexual awakening no longer had to lead to lifelong commitment but could open many routes to self-discovery and experimentation. The gay rights movement had made a space in public life for more open discussion of sexual identity, and second-wave feminist writers such as Ellen Willis and Margo St. James had argued in defense of pornography and for the decriminalization of sex work.</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The economic boom that began in the late 1980s didn’t hurt, since a relatively affluent younger generation could pursue self-expression in these years by purchasing things. The sale of sex toys soared in the 1990s, led by the Rabbit, a vibrator fitted with a clitoral stimulator that had been featured in an episode of Sex and the City. Pornography was a multibillion-dollar industry that Hollywood mythologized in movies like Boogie Nights and The People vs. Larry Flynt. The two most prominent distributors of adult video were multinational corporations: Marriott Hotels, through the pay-per-view service in its rooms, and General Motors, which then owned DirecTV. Over the same period, the Internet fueled the proliferation not only of sexual fantasies but also of new services. Janea Padilha, the beautician who invented the Brazilian bikini wax, bought banner ads on AOL to market it, and it became popular among celebrity clients at the salon she and her sisters ran in midtown Manhattan.</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The winners in this new, more open order would largely be women, or so the story goes. Inspired by sex-positive feminists of the 1970s and 1980s, a new generation of women believed that since a male-dominated society had so often enforced modesty and chastity, to wield their sex appeal openly could amount to a form of rebellion. “I didn’t just hit the glass ceiling,” Friend quotes the singer Kathleen Hanna as saying. “I pressed my naked tits up against it.” He credits Hanna’s generation with making clear that “men—and the larger culture—did not define a woman’s sexuality. Only women did.” Madonna qualifies, in Friend’s book, as an icon of female empowerment because she could do things like fellate a water bottle in a documentary (Alek Keshishian’s Truth or Dare) and still be named “America’s Smartest Businesswoman” by Forbes. The women on Sex and the City are icons too, since when they meet up to discuss threesomes and spanking over brunch, they are demonstrating, Friend writes, that feminism has liberated them “to pursue their sex lives on their own terms.”</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Taboo-breaking and sexual self-expression are of course gains of a sort. But the sexualization of broad swathes of life also produced various harms. For every uplifting episode of Sex and the City that Friend details, there’s a trend in vaginal rejuvenation surgery or in pubic hair styling—fashions that involved painful, often expensive procedures and created new insecurities for women. In 1998, Cosmo asked its readers, “Does He Think You’re a Labia Loser?,” adding to the genre of women’s magazine writing that takes aim at readers’ self- esteem. Friend describes how patients around this time “rushed to gynecologists’ waiting rooms” in pursuit of an impossibly high aesthetic standard. One specialist in the field is even referred to sometimes as if he were a great and difficult artist, “the Picasso of vaginas.”</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Meanwhile, as Friend acknowledges, conservatives were chipping away at a woman’s right to control her own body. In its 1992 ruling in Planned Parenthood v. Casey, the Supreme Court gave states the authority to impose a twenty-four-hour waiting period on a woman seeking an abortion, and to require that a minor obtain the consent of one of her parents. The first bombing and arson attacks on abortion clinics had begun decades earlier, but as Dallas A. Blanchard’s book The Anti-Abortion Movement and the Rise of the Religious Right (1994) has described, such attacks picked up significantly in the 1990s. The first murder of an abortion provider occurred in 1993, when a pro-life activist shot Dr. David Gunn outside his clinic in Pensacola, Florida. By 1995, Emily Bazelon has reported, the proportion of OB–GYN residencies offering abortion training “fell to a low of 12 percent.”</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That is not to say that women’s lives did not improve in all kinds of ways during the 1990s. Television shows and movies featuring strong female characters—Friend cites Buffy the Vampire Slayer, The First Wives’ Club, Thelma and Louise—promoted an ideal of equality. A record number of women were elected to the House and the Senate. A few women started to break through the glass ceiling in business, and much more. But there’s little to indicate that sexiness got them there.</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Friend’s argument that women led the charge toward a more sexualized culture implies that men for the most part simply followed. If heterosexual men found themselves in crisis toward the end of the last century, it was because women had upended their world. He quotes Lionel Tiger—the anthropologist who coined the term “male bonding”—musing in his 1999 treatise The Decline of Males that our communities had become more “focused on females and their young,” with men left “scuffling” for position. More women in the job market appeared to displace men, adding to their sense of being “unworthy and burdensome.”</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Some of these men formed support groups, organizing themselves to respond to the disruptions of a feminized society. In 1991, 4,200 men met in Boulder, Colorado, in the first large assembly of Promise Keepers, where they committed to pursuing “vital relationships with a few other men,” who understood that a man “needs brothers to help him keep his promises.” Others regained a sense of purpose through a mix of adventure and rugged consumerism. They read books like Jon Krakauer’s Into the Wild and Mark Bowden’s Black Hawk Down that showed them what Friend calls “men dwarfed by destiny.” They drove Humvees and smoked cigars.</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But the major change Friend identifies in masculinity is that heterosexual men became softer and more approachable—more like women. He sketches the rise of the “sensitive guy,” who was afraid neither of crying nor of “pampering and styling and toning” himself, arguing that men became “more grounded individuals” and “more empathetic souls” in the 1990s simply because women wanted them to. American men, he pronounces,</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have become more conscious of sexual discrimination and harassment as a result of a social awakening and a slate of progressive laws. Their attitudes have been recalibrated by empowered women (who’ve been transforming society and their place in it) and by exemplary male peers.</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Of all the decade’s exemplary men, Friend identifies Bill Clinton as “the whole brash package.” It was Clinton’s ability to overcome scandal and make an emotional connection with the voting public, Friend proposes, that taught Americans to accept “a new masculine archetype”—the sensitive guy with a healthy smattering of flaws. In a 1992 debate, Clinton could forcefully assure the audience that he felt their pain. When Gennifer Flowers revealed their relationship of twelve years, it could have ended Clinton’s career, but it didn’t. He responded with a display of openness, sitting for a joint interview with Hillary Clinton on 60 Minutes, using “her steadfast commitment” to him to convince the public to accept him for who he was, as Friend puts it, this “likable, complex, beguiling man.”</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Bill Clinton is not, one might think, the best ambassador for a new order in which sexually bold women lead and their men sensitively follow. It is hard to look back on the highly publicized sex scandals of 1990s, including those of Clinton’s presidency, without seeing something quite different—a country in which women were routinely sacrificed for the sake of preserving a man’s power. Clinton’s advisers worked consistently to undermine the credibility of women like Flowers who claimed to have been involved with him. Clinton’s initial response to Flowers’s story was that “she’s obviously taken money.” White House aide Betsey Wright even coined a term for women’s accusations against the president: “bimbo eruptions.”</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Richard Baker/Pictures Ltd./Corbis/Getty Images</w:t>
      </w:r>
    </w:p>
    <w:p w:rsidR="00000000" w:rsidDel="00000000" w:rsidP="00000000" w:rsidRDefault="00000000" w:rsidRPr="00000000" w14:paraId="000000A8">
      <w:pPr>
        <w:contextualSpacing w:val="0"/>
        <w:rPr/>
      </w:pPr>
      <w:r w:rsidDel="00000000" w:rsidR="00000000" w:rsidRPr="00000000">
        <w:rPr>
          <w:rtl w:val="0"/>
        </w:rPr>
        <w:t xml:space="preserve">A blindfolded woman inspecting her husband during a game aboard the Fun Ship Ecstasy, a cruise ship traveling from Miami around the Gulf of Mexico, May 1996</w:t>
      </w:r>
    </w:p>
    <w:p w:rsidR="00000000" w:rsidDel="00000000" w:rsidP="00000000" w:rsidRDefault="00000000" w:rsidRPr="00000000" w14:paraId="000000A9">
      <w:pPr>
        <w:contextualSpacing w:val="0"/>
        <w:rPr/>
      </w:pPr>
      <w:r w:rsidDel="00000000" w:rsidR="00000000" w:rsidRPr="00000000">
        <w:rPr>
          <w:rtl w:val="0"/>
        </w:rPr>
        <w:t xml:space="preserve">If some portion of the American public embraced Clinton’s imperfections more fully after Gennifer Flowers’s revelations, they were tougher on the women who said he dated, harassed, or assaulted them. Paula Jones, who sued the president for sexual harassment and assault in 1994, was derided in the press as “some sleazy woman with big hair.” CNN’s Bill Press deemed Juanita Broaddrick’s allegation that Clinton had raped her in 1978 “fishy.” As the Starr report raked over intimate details of Monica Lewinsky’s life, journalists questioned whether she was pretty or interesting enough to have won the president’s attention. “My dental hygienist pointed out that she had third-stage gum disease,” Erica Jong remarked in 1998. Despite the decade’s rhetoric of empowerment, Lewinsky never got much of a chance to define her sexuality or her image. To date, her name appears in over 120 rap songs, in at least seventy of them as a verb (“to Lewinsky”) meaning “to give oral sex.”</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Public opinion simply did not favor women who accused powerful men of abuse. When in 1991 Anita Hill testified that Clarence Thomas had sexually harassed her in the 1980s, over 30 million people watched the televised hearings. Six in ten of them, polls found soon after, did not believe Hill. Nor did her account move the Senate, which voted to confirm Thomas’s appointment to the Supreme Court. It’s clear that many people at the time did not consider Thomas’s behavior toward Hill all that bad. One of the incidents that Hill recounted in the hearings was “an occasion in which Thomas was drinking a Coke in his office. He got up from the table at which we were working…and asked, ‘Who has put pubic hair on my Coke?’” As Francine Prose was quoted as saying by The New York Observer in 1998, “Who cares about that?”</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As our own moment has shown, the attitudes of some of the most powerful men in the country had not been “recalibrated by empowered women” at all. Plenty continued to mistreat women they worked with and plenty more chose not to care about it. If men became less macho and more emotive, it was because for many decades they had been revolting against the traditional role of the ultra-responsible husband and father. Somewhere along this path to becoming “sensitive guys,” many claimed a form of power through sex.</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In her book The Hearts of Men (1983), Barbara Ehrenreich traces this change in masculinity through the twentieth century, detailing the dissatisfactions many men felt at having to marry early and support their wives, who secured what Playboy sourly called “an Assured Lifetime Income” through marriage. To be a husband and a father in the 1950s meant being a provider—getting a job and, in order to keep it, submitting to the conformity of the office. A successful man was the one who could mold his personality both to the corporate culture at work and to domestic ideals at home. For such men the promise of sexual liberation was that separating sex from the responsibilities of traditional marriage would release him from crushing expectations, freeing him to be whoever he wanted to be.</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The idea that a free man is a sexually daring one has persisted, through the 1990s and into our own time. “That’s just Charlie being Charlie,” a senior producer reportedly told an employee on The Charlie Rose Show who complained of harassment. “Being Charlie” was perhaps an essential part of his professional persona: a 1993 profile of Rose in Newsday, titled “The Love Cult of Charlie Rose,” was one of many to note his “famously seductive gaze.” This seductiveness may be why many people thought at the time that a lot of the behavior now being called out and condemned was not so bad, and why some of the men accused made little effort to hide it. Matt Taibbi and Mark Ames published a memoir in 2000 in which, in a chapter by Ames, Ames jokes about “our sexism and sexual harassment of the Russian female staff” at The eXile, the newspaper they founded in 1997. On more than one occasion, Al Franken did not see any harm in posing for a photo of himself groping a woman.</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It’s not surprising that sexual daring has by now brought many to grief; when liberation simply means unleashing sex into the already existing power structures, only a few will get free—those already at the top. As American culture became more comfortable with sex in the ways Friend describes, women could strike an empowering pose like Madonna, but they continued to be poorer than men and to occupy less powerful positions. In 1995, women made up about 45 percent of the workforce but held only 5 percent of leadership positions in American corporations. They earned on average 71 percent of a man’s salary. When the Personal Responsibility and Work Opportunity Act passed in 1996, some of the poorest women found themselves in a still more precarious position, as a large portion of single mothers on welfare lost assistance. The less a person has, the harder it is for her to risk upsetting the boss.</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At pivotal moments in the 1990s, powerful institutions—from Miramax’s HR department to the US Senate—cemented that status quo. Women who pointed out that harassment by their superiors tended to limit their own freedom, whether on college campuses or in the workplace, were frequently accused of retreating into victimhood and missing out on the ambiguities and texture of true experience. “Real life is messy, rife with misunderstandings and contradictions,” a Newsweek cover story lectured in 1993. “There’s no eight-page guide on how to handle it.”</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The stories of sexual harassment and assault posted and printed in the last few months present a forceful corrective to those attitudes. The scandals of the 1990s appear now to have been resolved more crudely than many thought at the time. The ideal of sexual liberation narrowed, it seems, to mean more sex but not necessarily more freedom, in the sense of having control over one’s own life. The vision of female empowerment that so many singers and magazines promoted, meanwhile, oversold the day-to-day reality of being a woman, ignoring any number of pressures and injustices.</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That the first of this wave of stories came from famous actresses shows how dangerous it is to confuse the performance of power with real decision-making positions. Women who read the news or hosted a radio show or starred in a movie had the ability to shape a narrative, but they lacked the power to report a feared and admired man in their industry when he assaulted and harassed them. Such men could rely on firmly established power dynamics to shield them if anyone complained—the incentives for younger, less established people to avoid offending them, and the biases they would in any case run up against if they dared to. The Equal Employment Opportunity Commission estimates that as few as 6 percent of women who are harassed file a formal complaint, perhaps with good reason, since 75 percent of women who do report harassment at work encounter retaliation.</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Since the 1990s, some women have in fact disappeared from the workplace. The employment of women over the age of sixteen peaked in 2000. A theme in recent stories is opportunity cost: how women turned down assignments, or left a company, or sometimes gave up on a profession in order to be able to walk away from harassment. There is now a keenly felt sense of what might have been if such women hadn’t been forced out of their jobs or into smaller roles. No one can say what “real life” would have looked like for them, freed from its compromises with power. It’s something you have to imagine.</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