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Readings for March 24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For March 24, the Today”s Issues group will discuss two essays from the New York Review of Books.  </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From the March 8 Issue, Page 24, Christopher jBenfey, “The Quiet Little Warrior,” a review of four books about John Hay including his relationships with Lincoln, Mark Train, Henry James and Theodore Roosevelt</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From the March 28 Issue, page 28, John Gray, “The Square and the Tower,” a review of Niall Ferguson’s book, “The Square and the Tower: Networks and Power, from the Freemasons to Facebook.”</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The group meets in the Religious Education building next to the church at 9:30 on Sunday mornings.  Please do the reading and join our lively discussion.</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The Quiet Little Warrior</w:t>
      </w:r>
    </w:p>
    <w:p w:rsidR="00000000" w:rsidDel="00000000" w:rsidP="00000000" w:rsidRDefault="00000000" w:rsidRPr="00000000" w14:paraId="0000000B">
      <w:pPr>
        <w:contextualSpacing w:val="0"/>
        <w:rPr/>
      </w:pPr>
      <w:r w:rsidDel="00000000" w:rsidR="00000000" w:rsidRPr="00000000">
        <w:rPr>
          <w:rtl w:val="0"/>
        </w:rPr>
        <w:t xml:space="preserve">Christopher Benfey MARCH 8, 2018 ISSUE</w:t>
      </w:r>
    </w:p>
    <w:p w:rsidR="00000000" w:rsidDel="00000000" w:rsidP="00000000" w:rsidRDefault="00000000" w:rsidRPr="00000000" w14:paraId="0000000C">
      <w:pPr>
        <w:contextualSpacing w:val="0"/>
        <w:rPr/>
      </w:pPr>
      <w:r w:rsidDel="00000000" w:rsidR="00000000" w:rsidRPr="00000000">
        <w:rPr>
          <w:rtl w:val="0"/>
        </w:rPr>
        <w:t xml:space="preserve">All the Great Prizes: The Life of John Hay, from Lincoln to Roosevelt</w:t>
      </w:r>
    </w:p>
    <w:p w:rsidR="00000000" w:rsidDel="00000000" w:rsidP="00000000" w:rsidRDefault="00000000" w:rsidRPr="00000000" w14:paraId="0000000D">
      <w:pPr>
        <w:contextualSpacing w:val="0"/>
        <w:rPr/>
      </w:pPr>
      <w:r w:rsidDel="00000000" w:rsidR="00000000" w:rsidRPr="00000000">
        <w:rPr>
          <w:rtl w:val="0"/>
        </w:rPr>
        <w:t xml:space="preserve">by John Taliaferro</w:t>
      </w:r>
    </w:p>
    <w:p w:rsidR="00000000" w:rsidDel="00000000" w:rsidP="00000000" w:rsidRDefault="00000000" w:rsidRPr="00000000" w14:paraId="0000000E">
      <w:pPr>
        <w:contextualSpacing w:val="0"/>
        <w:rPr/>
      </w:pPr>
      <w:r w:rsidDel="00000000" w:rsidR="00000000" w:rsidRPr="00000000">
        <w:rPr>
          <w:rtl w:val="0"/>
        </w:rPr>
        <w:t xml:space="preserve">Simon and Schuster, 673 pp., $35.00; $21.00 (paper)</w:t>
      </w:r>
    </w:p>
    <w:p w:rsidR="00000000" w:rsidDel="00000000" w:rsidP="00000000" w:rsidRDefault="00000000" w:rsidRPr="00000000" w14:paraId="0000000F">
      <w:pPr>
        <w:contextualSpacing w:val="0"/>
        <w:rPr/>
      </w:pPr>
      <w:r w:rsidDel="00000000" w:rsidR="00000000" w:rsidRPr="00000000">
        <w:rPr>
          <w:rtl w:val="0"/>
        </w:rPr>
        <w:t xml:space="preserve">Lincoln’s Boys: John Hay, John Nicolay, and the War for Lincoln’s Image</w:t>
      </w:r>
    </w:p>
    <w:p w:rsidR="00000000" w:rsidDel="00000000" w:rsidP="00000000" w:rsidRDefault="00000000" w:rsidRPr="00000000" w14:paraId="00000010">
      <w:pPr>
        <w:contextualSpacing w:val="0"/>
        <w:rPr/>
      </w:pPr>
      <w:r w:rsidDel="00000000" w:rsidR="00000000" w:rsidRPr="00000000">
        <w:rPr>
          <w:rtl w:val="0"/>
        </w:rPr>
        <w:t xml:space="preserve">by Joshua Zeitz</w:t>
      </w:r>
    </w:p>
    <w:p w:rsidR="00000000" w:rsidDel="00000000" w:rsidP="00000000" w:rsidRDefault="00000000" w:rsidRPr="00000000" w14:paraId="00000011">
      <w:pPr>
        <w:contextualSpacing w:val="0"/>
        <w:rPr/>
      </w:pPr>
      <w:r w:rsidDel="00000000" w:rsidR="00000000" w:rsidRPr="00000000">
        <w:rPr>
          <w:rtl w:val="0"/>
        </w:rPr>
        <w:t xml:space="preserve">Penguin, 390 pp., $17.00 (paper)</w:t>
      </w:r>
    </w:p>
    <w:p w:rsidR="00000000" w:rsidDel="00000000" w:rsidP="00000000" w:rsidRDefault="00000000" w:rsidRPr="00000000" w14:paraId="00000012">
      <w:pPr>
        <w:contextualSpacing w:val="0"/>
        <w:rPr/>
      </w:pPr>
      <w:r w:rsidDel="00000000" w:rsidR="00000000" w:rsidRPr="00000000">
        <w:rPr>
          <w:rtl w:val="0"/>
        </w:rPr>
        <w:t xml:space="preserve">The Statesman and the Storyteller: John Hay, Mark Twain, and the Rise of American Imperialism</w:t>
      </w:r>
    </w:p>
    <w:p w:rsidR="00000000" w:rsidDel="00000000" w:rsidP="00000000" w:rsidRDefault="00000000" w:rsidRPr="00000000" w14:paraId="00000013">
      <w:pPr>
        <w:contextualSpacing w:val="0"/>
        <w:rPr/>
      </w:pPr>
      <w:r w:rsidDel="00000000" w:rsidR="00000000" w:rsidRPr="00000000">
        <w:rPr>
          <w:rtl w:val="0"/>
        </w:rPr>
        <w:t xml:space="preserve">by Mark Zwonitzer</w:t>
      </w:r>
    </w:p>
    <w:p w:rsidR="00000000" w:rsidDel="00000000" w:rsidP="00000000" w:rsidRDefault="00000000" w:rsidRPr="00000000" w14:paraId="00000014">
      <w:pPr>
        <w:contextualSpacing w:val="0"/>
        <w:rPr/>
      </w:pPr>
      <w:r w:rsidDel="00000000" w:rsidR="00000000" w:rsidRPr="00000000">
        <w:rPr>
          <w:rtl w:val="0"/>
        </w:rPr>
        <w:t xml:space="preserve">Algonquin, 583 pp., $35.00</w:t>
      </w:r>
    </w:p>
    <w:p w:rsidR="00000000" w:rsidDel="00000000" w:rsidP="00000000" w:rsidRDefault="00000000" w:rsidRPr="00000000" w14:paraId="00000015">
      <w:pPr>
        <w:contextualSpacing w:val="0"/>
        <w:rPr/>
      </w:pPr>
      <w:r w:rsidDel="00000000" w:rsidR="00000000" w:rsidRPr="00000000">
        <w:rPr>
          <w:rtl w:val="0"/>
        </w:rPr>
        <w:t xml:space="preserve">John Hay, Friend of Giants: The Man and Life Connecting Abraham Lincoln, Mark Twain, Henry James, and Theodore Roosevelt</w:t>
      </w:r>
    </w:p>
    <w:p w:rsidR="00000000" w:rsidDel="00000000" w:rsidP="00000000" w:rsidRDefault="00000000" w:rsidRPr="00000000" w14:paraId="00000016">
      <w:pPr>
        <w:contextualSpacing w:val="0"/>
        <w:rPr/>
      </w:pPr>
      <w:r w:rsidDel="00000000" w:rsidR="00000000" w:rsidRPr="00000000">
        <w:rPr>
          <w:rtl w:val="0"/>
        </w:rPr>
        <w:t xml:space="preserve">by Philip McFarland</w:t>
      </w:r>
    </w:p>
    <w:p w:rsidR="00000000" w:rsidDel="00000000" w:rsidP="00000000" w:rsidRDefault="00000000" w:rsidRPr="00000000" w14:paraId="00000017">
      <w:pPr>
        <w:contextualSpacing w:val="0"/>
        <w:rPr/>
      </w:pPr>
      <w:r w:rsidDel="00000000" w:rsidR="00000000" w:rsidRPr="00000000">
        <w:rPr>
          <w:rtl w:val="0"/>
        </w:rPr>
        <w:t xml:space="preserve">Rowman and Littlefield, 366 pp., $27.00</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Brown University Portrait Collection, Providence, Rhode Island</w:t>
      </w:r>
    </w:p>
    <w:p w:rsidR="00000000" w:rsidDel="00000000" w:rsidP="00000000" w:rsidRDefault="00000000" w:rsidRPr="00000000" w14:paraId="0000001A">
      <w:pPr>
        <w:contextualSpacing w:val="0"/>
        <w:rPr/>
      </w:pPr>
      <w:r w:rsidDel="00000000" w:rsidR="00000000" w:rsidRPr="00000000">
        <w:rPr>
          <w:rtl w:val="0"/>
        </w:rPr>
        <w:t xml:space="preserve">John Singer Sargent: John Hay, 1903</w:t>
      </w:r>
    </w:p>
    <w:p w:rsidR="00000000" w:rsidDel="00000000" w:rsidP="00000000" w:rsidRDefault="00000000" w:rsidRPr="00000000" w14:paraId="0000001B">
      <w:pPr>
        <w:contextualSpacing w:val="0"/>
        <w:rPr/>
      </w:pPr>
      <w:r w:rsidDel="00000000" w:rsidR="00000000" w:rsidRPr="00000000">
        <w:rPr>
          <w:rtl w:val="0"/>
        </w:rPr>
        <w:t xml:space="preserve">During the winter of 1903, John Singer Sargent was invited to the White House to paint Theodore Roosevelt’s official portrait. Feeling like “a rabbit in the presence of a boa constrictor,” Sargent had the impatient president grasp the large round knob of a staircase, as though to keep him in place. Since Roosevelt limited sessions to a half hour, Sargent improved the time by crossing Lafayette Square to the sumptuous house of John Hay, Roosevelt’s secretary of state, where he painted a portrait of Hay—a private commission—in his darkened library. While the youthful Roosevelt is depicted as a commanding presence, as though holding the diminished world in his firm grip, Hay at sixty-four, a slight man prone to obscure ailments, looks pensive, his right hand held tentatively aloft and a rebellious strand of hair straying across his creased forehead. One could almost imagine the two men posing for contrasting allegorical figures representing the Man Who Carries a Big Stick and the Man Who Talks Softly.</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Perhaps there is something in the very nature of diplomacy that tends to blur the outlines of individual achievement, but no biography of Hay, or of others in his illustrious circle, has managed to capture the elusive figure in Sargent’s portrait, who once remarked, with characteristic modesty, that his life was an “oughtnottobiography.” Even Henry Adams, in his The Education of Henry Adams, with its incisive accounts of so many politicians and mountebanks, is oddly reticent about his closest friend and longtime Washington neighbor. John Taliaferro’s sympathetic but by no means hagiographic portrait, All the Great Prizes (2013), brought us closer to the subject than previous attempts, while exploring the motivations behind his self-effacement.</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Three subsequent books on Hay, all of which build on Taliaferro’s findings, follow a revealing pattern. Each one pairs Hay with illustrious contemporaries: with John Nicolay, his fellow presidential secretary, in Joshua Zeitz’s Lincoln’s Boys; with Mark Twain in Mark Zwonitzer’s The Statesman and the Storyteller; and with Lincoln, Twain, Henry James, and Roosevelt, in Philip McFarland’s wide-ranging John Hay, Friend of Giants. The impression left by such partial portraits—of which Zwonitzer’s, principally concerned with Twain’s and Hay’s diverging views of the benefits of empire, is the most substantial—is that Hay, no giant himself, gained in stature by his association with others.</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The subtitles of these books convey something about the sheer extent of Hay’s life, beginning with his youthful service in Abraham Lincoln’s White House. With his fellow private secretary, the German-born John Nicolay, Hay later wrote the official biography, as long as Gibbon’s Decline and Fall, of Lincoln’s life and times. Hay was regarded as the literary stylist on Lincoln’s team, ghostwriting much of the president’s correspondence, including, apparently, one of his most famous letters. Later, he wrote popular dialect poems, drawn from the Midwest where he grew up, along with an anti-labor novel much admired in its day.</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t xml:space="preserve">But it is as a statesman specializing in foreign affairs—first as a diplomat serving in European posts after the Civil War, and then as secretary of state in the successive administrations of McKinley and Roosevelt—that Hay makes the greatest claim to historical significance. He was of that generation that guided the United States from its fledgling years as a peripheral participant in the world to its still ambivalent embrace of empire. It was Hay who famously characterized the Spanish-American War as a “splendid little war.” He also defended the horrific American occupation of the Philippines and arranged the secret meetings that eventually led to construction of a canal under American control in “independent” Panama—independent, because the United States had encouraged the state of Panama to declare independence from Colombia in exchange for military support and a favorable deal on the canal.</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Hay also—and it is still regarded as his greatest achievement—established the American policy regarding China, expressed in his successive “Open Door” notes of 1899–1900. These documents, agreed to by the other imperial powers, ensured that China would be open to trade with all foreign powers on an equal basis; they are widely viewed as having prevented the partition of China—by Great Britain, Russia, Germany, France, and Japan—into exclusive economic “spheres of influence,” essentially colonies. Taliaferro follows other historians in considering the Open Door Hay’s “masterpiece,” adding the hyperbolic claim that “if Lincoln had saved the Union, John Hay deserves a nod of credit for saving China from ‘spoliation’ at the hands of the other powers.”</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Hay conceived of diplomacy as a transaction among gentlemen. He believed in trust among civilized nations and fought tenaciously for treaties against an obstinate Senate that despised such self-limiting agreements. George Kennan, a distinguished diplomat of a later, less civil era, once characterized “the America I know and love and owe allegiance to” as “the America of…John Hay and Henry Adams and Roosevelt,” specifying that “it stood for certain ideals of decency and courage and generosity which were as fine as anything the world has ever known.” Hay’s conviction that the United States was a beacon to a world struggling toward democracy could easily be abused, as in the case of the Philippines and later American interventions in Asia. “He was a man of his time—,” Kennan concludes, with perhaps a touch of irony, “a man of dignity and sensitivity—a great American gentleman.”</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John Milton Hay was born in Salem, Indiana, in 1838. His father, a bookish physician, moved his family further west, to Warsaw, Illinois, a river town just above Twain’s Hannibal and just below the Morman settlement at Nauvoo, and founded the public library there. Taliaferro mentions two events that he thinks shaped Hay’s childhood. Hay came across a runaway slave hiding in the family basement, and later said, “that incident has given me a greater horror than anything I have ever read about slavery.” His father was drawn into the anti-Mormon activities of the Warsaw militia “as its surgeon,” though Hay, while denouncing the Mormon leaders as “blackguards,” claimed that his father opposed the lynch mob that marched on the jail in nearby Carthage and murdered Joseph Smith and his brother. Hay’s father, who read Homer and Virgil for pleasure, instructed his precocious son at home, encouraging his gift for languages. Hay attended a local academy, where he met John Nicolay, and enrolled, at age sixteen, at Brown. Drawn into the literary circle of the Providence poet Sarah Helen Whitman, who had once been engaged to Edgar Allan Poe, Hay wrote poetry in a sappy Byronic mode.</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 xml:space="preserve">Back in Illinois, Hay read law at the firm of his uncle Milton, who in Springfield had an office next to that of Abraham Lincoln. Nicolay was clerking for the Illinois Secretary of State. When Lincoln, who had begun his campaign for public office, needed someone to answer his letters, Nicolay suggested Hay. After Lincoln’s surprising victory, the two young men followed Lincoln to Washington, a city Hay found, in Taliaferro’s deft phrase, “at once august and disgusting.” At the ill-equipped White House of the early 1860s, where Mary Todd Lincoln couldn’t muster matching table settings for a dozen guests, ordinary citizens lined up every day by the hundreds to get by the gatekeepers, Hay and Nicolay, and meet with the beleaguered president face to face.</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 xml:space="preserve">John Hay was “the stylish one” on the White House staff, according to Taliaferro, “dapper and erudite, with the pen of a poet.” Nicolay, by contrast, was “short-tempered and dyspeptic,” in Zeitz’s account, “a brooding figure to those seeking the president’s time or favor.” Two or three hundred letters arrived at the White House every day. Hay told William Herndon that Lincoln “signed without reading them the letters I wrote in his name.” One of Lincoln’s most famous letters is known as the Bixby letter. A Mrs. Bixby of Boston had reportedly lost five sons in the war (it later came to light that she had lost two, and was a southern sympathizer); the governor of Massachusetts thought something special was called for to honor such conspicuous sacrifice. “I feel how weak and fruitless must be any words of mine which should attempt to beguile you from the grief of a loss so overwhelming,” the letter reads in part.</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But I cannot refrain from tendering to you the consolation that may be found in the thanks of the Republic they died to save…. I pray that our Heavenly Father may assuage the anguish of your bereavement, and leave you only the cherished memory of the loved and lost.</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The letter was long considered among the greatest writings in the Lincoln canon. It was later set to music; I’ve heard it sung, movingly, by the baritone Thomas Hampson. The World War II film Saving Private Ryan drew major elements of its plot from the Bixby exchange. It is now widely believed that the letter was written by John Hay, who reportedly told friends that he had written it, and who pasted it in scrapbooks along with poems he published anonymously during the war. One can see how the Bixby letter could have been written by someone convinced that he was expressing what a more eloquent Lincoln ought to have written on such an occasion. The genteel phrases—“to beguile you from the grief,” “refrain from tendering to you the consolation,” “may assuage the anguish”—are, as Taliaferro notes, “more characteristic of Hay, appearing over and over in his own letters and seldom in Lincoln’s.” Hungover at Gettysburg after a long night of reveling, Hay had only this to say about the famously terse address, in which he himself had no hand: “The President in a firm free way, with more grace than is his wont said his half dozen lines of consecration and the music wailed and we went home through crowded and cheering streets.”</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t xml:space="preserve">During the war, Hay bought some orange groves in Florida, and thought about returning to Illinois as a gentleman farmer. He was still in Washington when Lincoln was shot and, by his own account, was standing at the head of the bed when the president died. Neither the orange groves nor the Midwest held much appeal for Hay, who accepted a minor diplomatic post in Paris instead, followed by postings in Vienna and Madrid, where he also wrote for American magazines. “The Empire attained its most resplendent bloom the year before its fall,” he wrote of Paris in 1869, on the eve of the ruinous war with Prussia.</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Hay’s study of European revolutions persuaded him that nations could grow in democratic directions. In Spain he claimed to hear, with his customary effusiveness, “strains of lyric beauty that are only heard in the fresh and dewy dawn of democracies.” In the editorials he began writing in 1870 for Horace Greeley’s New York Tribune, Hay developed his ideas about the inevitable progress of democracy in the world, with the United States in the vanguard:</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 xml:space="preserve">The leading liberal minds of the Old World clearly recognize that the American system of government is the nearest to perfection of all that have ever been evolved from the intelligence of man and the force of circumstance.</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In a lighter mode, Hay wrote poems in dialect celebrating a native American virtue sprung from the rough circumstances of the frontier. “Jim Bludso” is about the engineer of a steamboat on the Mississippi who, in an ill-advised race with a newer boat, accidentally sets his boat on fire. Bludso remains on board until all the passengers except himself are safely ashore:</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t xml:space="preserve">He were n’t no saint,—but at</w:t>
      </w:r>
    </w:p>
    <w:p w:rsidR="00000000" w:rsidDel="00000000" w:rsidP="00000000" w:rsidRDefault="00000000" w:rsidRPr="00000000" w14:paraId="0000003C">
      <w:pPr>
        <w:contextualSpacing w:val="0"/>
        <w:rPr/>
      </w:pPr>
      <w:r w:rsidDel="00000000" w:rsidR="00000000" w:rsidRPr="00000000">
        <w:rPr>
          <w:rtl w:val="0"/>
        </w:rPr>
        <w:t xml:space="preserve">        jedgment</w:t>
      </w:r>
    </w:p>
    <w:p w:rsidR="00000000" w:rsidDel="00000000" w:rsidP="00000000" w:rsidRDefault="00000000" w:rsidRPr="00000000" w14:paraId="0000003D">
      <w:pPr>
        <w:contextualSpacing w:val="0"/>
        <w:rPr/>
      </w:pPr>
      <w:r w:rsidDel="00000000" w:rsidR="00000000" w:rsidRPr="00000000">
        <w:rPr>
          <w:rtl w:val="0"/>
        </w:rPr>
        <w:t xml:space="preserve">    I’d run my chance with Jim,</w:t>
      </w:r>
    </w:p>
    <w:p w:rsidR="00000000" w:rsidDel="00000000" w:rsidP="00000000" w:rsidRDefault="00000000" w:rsidRPr="00000000" w14:paraId="0000003E">
      <w:pPr>
        <w:contextualSpacing w:val="0"/>
        <w:rPr/>
      </w:pPr>
      <w:r w:rsidDel="00000000" w:rsidR="00000000" w:rsidRPr="00000000">
        <w:rPr>
          <w:rtl w:val="0"/>
        </w:rPr>
        <w:t xml:space="preserve">’Longside of some pious</w:t>
      </w:r>
    </w:p>
    <w:p w:rsidR="00000000" w:rsidDel="00000000" w:rsidP="00000000" w:rsidRDefault="00000000" w:rsidRPr="00000000" w14:paraId="0000003F">
      <w:pPr>
        <w:contextualSpacing w:val="0"/>
        <w:rPr/>
      </w:pPr>
      <w:r w:rsidDel="00000000" w:rsidR="00000000" w:rsidRPr="00000000">
        <w:rPr>
          <w:rtl w:val="0"/>
        </w:rPr>
        <w:t xml:space="preserve">        gentlemen</w:t>
      </w:r>
    </w:p>
    <w:p w:rsidR="00000000" w:rsidDel="00000000" w:rsidP="00000000" w:rsidRDefault="00000000" w:rsidRPr="00000000" w14:paraId="00000040">
      <w:pPr>
        <w:contextualSpacing w:val="0"/>
        <w:rPr/>
      </w:pPr>
      <w:r w:rsidDel="00000000" w:rsidR="00000000" w:rsidRPr="00000000">
        <w:rPr>
          <w:rtl w:val="0"/>
        </w:rPr>
        <w:t xml:space="preserve">    That wouldn’t shook hands</w:t>
      </w:r>
    </w:p>
    <w:p w:rsidR="00000000" w:rsidDel="00000000" w:rsidP="00000000" w:rsidRDefault="00000000" w:rsidRPr="00000000" w14:paraId="00000041">
      <w:pPr>
        <w:contextualSpacing w:val="0"/>
        <w:rPr/>
      </w:pPr>
      <w:r w:rsidDel="00000000" w:rsidR="00000000" w:rsidRPr="00000000">
        <w:rPr>
          <w:rtl w:val="0"/>
        </w:rPr>
        <w:t xml:space="preserve">        with him.</w:t>
      </w:r>
    </w:p>
    <w:p w:rsidR="00000000" w:rsidDel="00000000" w:rsidP="00000000" w:rsidRDefault="00000000" w:rsidRPr="00000000" w14:paraId="00000042">
      <w:pPr>
        <w:contextualSpacing w:val="0"/>
        <w:rPr/>
      </w:pPr>
      <w:r w:rsidDel="00000000" w:rsidR="00000000" w:rsidRPr="00000000">
        <w:rPr>
          <w:rtl w:val="0"/>
        </w:rPr>
        <w:t xml:space="preserve">He seen his duty, a dead-sure</w:t>
      </w:r>
    </w:p>
    <w:p w:rsidR="00000000" w:rsidDel="00000000" w:rsidP="00000000" w:rsidRDefault="00000000" w:rsidRPr="00000000" w14:paraId="00000043">
      <w:pPr>
        <w:contextualSpacing w:val="0"/>
        <w:rPr/>
      </w:pPr>
      <w:r w:rsidDel="00000000" w:rsidR="00000000" w:rsidRPr="00000000">
        <w:rPr>
          <w:rtl w:val="0"/>
        </w:rPr>
        <w:t xml:space="preserve">        thing,—</w:t>
      </w:r>
    </w:p>
    <w:p w:rsidR="00000000" w:rsidDel="00000000" w:rsidP="00000000" w:rsidRDefault="00000000" w:rsidRPr="00000000" w14:paraId="00000044">
      <w:pPr>
        <w:contextualSpacing w:val="0"/>
        <w:rPr/>
      </w:pPr>
      <w:r w:rsidDel="00000000" w:rsidR="00000000" w:rsidRPr="00000000">
        <w:rPr>
          <w:rtl w:val="0"/>
        </w:rPr>
        <w:t xml:space="preserve">    And went for it thar and then;</w:t>
      </w:r>
    </w:p>
    <w:p w:rsidR="00000000" w:rsidDel="00000000" w:rsidP="00000000" w:rsidRDefault="00000000" w:rsidRPr="00000000" w14:paraId="00000045">
      <w:pPr>
        <w:contextualSpacing w:val="0"/>
        <w:rPr/>
      </w:pPr>
      <w:r w:rsidDel="00000000" w:rsidR="00000000" w:rsidRPr="00000000">
        <w:rPr>
          <w:rtl w:val="0"/>
        </w:rPr>
        <w:t xml:space="preserve">And Christ ain’t a going to be too</w:t>
      </w:r>
    </w:p>
    <w:p w:rsidR="00000000" w:rsidDel="00000000" w:rsidP="00000000" w:rsidRDefault="00000000" w:rsidRPr="00000000" w14:paraId="00000046">
      <w:pPr>
        <w:contextualSpacing w:val="0"/>
        <w:rPr/>
      </w:pPr>
      <w:r w:rsidDel="00000000" w:rsidR="00000000" w:rsidRPr="00000000">
        <w:rPr>
          <w:rtl w:val="0"/>
        </w:rPr>
        <w:t xml:space="preserve">        hard</w:t>
      </w:r>
    </w:p>
    <w:p w:rsidR="00000000" w:rsidDel="00000000" w:rsidP="00000000" w:rsidRDefault="00000000" w:rsidRPr="00000000" w14:paraId="00000047">
      <w:pPr>
        <w:contextualSpacing w:val="0"/>
        <w:rPr/>
      </w:pPr>
      <w:r w:rsidDel="00000000" w:rsidR="00000000" w:rsidRPr="00000000">
        <w:rPr>
          <w:rtl w:val="0"/>
        </w:rPr>
        <w:t xml:space="preserve">    On a man that died for men.</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Among the many admirers of the poem was Mark Twain, who pointed out that Bludso, if he steered the boat, should have been a pilot, and not an engineer.</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Hay was well paid by the Tribune, but he found a better way to secure his financial future when he married Clara Stone, one of the richest women in America, in 1874. Her father was Amasa Stone, a name that Edith Wharton might have invented, who, from his base in Cleveland, had amassed a fortune in steel and railroads. Stone persuaded Hay to work for him in Cleveland, building a huge mansion next door to his own house in anticipation of many grandchildren. Hay witnessed the intense labor agitation that followed the worldwide depression of 1873 and wrote darkly of international conspiracies and proletarian uprisings instilling “the very devil…into the lower class of working men.”</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Library of Congress</w:t>
      </w:r>
    </w:p>
    <w:p w:rsidR="00000000" w:rsidDel="00000000" w:rsidP="00000000" w:rsidRDefault="00000000" w:rsidRPr="00000000" w14:paraId="0000004F">
      <w:pPr>
        <w:contextualSpacing w:val="0"/>
        <w:rPr/>
      </w:pPr>
      <w:r w:rsidDel="00000000" w:rsidR="00000000" w:rsidRPr="00000000">
        <w:rPr>
          <w:rtl w:val="0"/>
        </w:rPr>
        <w:t xml:space="preserve">Joseph Pulitzer and William Randolph Hearst in ‘The Big Type War of the Yellow Kids’; illustration by Leon Baritt from Vim, 1898</w:t>
      </w:r>
    </w:p>
    <w:p w:rsidR="00000000" w:rsidDel="00000000" w:rsidP="00000000" w:rsidRDefault="00000000" w:rsidRPr="00000000" w14:paraId="00000050">
      <w:pPr>
        <w:contextualSpacing w:val="0"/>
        <w:rPr/>
      </w:pPr>
      <w:r w:rsidDel="00000000" w:rsidR="00000000" w:rsidRPr="00000000">
        <w:rPr>
          <w:rtl w:val="0"/>
        </w:rPr>
        <w:t xml:space="preserve">The novel Hay wrote on the subject, The Bread-Winners, published anonymously in 1883, is a sentimental romance set in a gritty city modeled on Cleveland. Two workers vie for the same young woman. One is the hardworking carpenter Sam Sleeny, “whose daily life was a practical argument against the doctrines of socialism.” The other is the dark-skinned and “oleaginous” Andrew Jackson Offitt, who has organized, among “the laziest and most incapable workmen in the town,” a secret society called the “Brotherhood of Bread-winners.” In a melodramatic sequence, Offitt organizes a factory strike, nearly kills the owner with a hammer while pinning the crime on Sleeny, and finally gets his due. Sleeny marries the novel’s erstwhile siren, while the recovering factory owner marries the highborn and angelic Alice (modeled on Hay’s own very maternal wife). “Hay tells his story from the omniscient point of view,” McFarland writes, “yet one feels—readers felt it at the time—that his view is hardly objective, but rather in favor of the rich, against the strikers, the discontented, the upstarts.”</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Ohio was a center of Republican politics, and Hay supported the candidacies of the Ohio-born presidents Garfield and McKinley. Hay had helped to bail out McKinley, then governor of Ohio, when he incurred a large debt in 1893, and later contributed to his candidacy. President McKinley gratefully appointed Hay ambassador to Great Britain and later secretary of state. Hay was not directly involved in the American suppression of the insurgents (former allies against Spanish rule) in the Philippines, but he defended American policy there, arguing that the Filipinos were not “oppressed” but were being schooled for democracy. (Twain referred to the American presence in the Philippines as “a quagmire from which each fresh step renders the difficulty of extrication immensely greater.”) Hay praised “the men who are striving…to ameliorate their condition and to make them fit for self-government and all its attendant advantages.”</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Such rhetoric would become all too familiar in twentieth-century American foreign policy. Hay’s high-handed treatment of the parties in the various canal negotiations strikes a similar tone. Convinced that an “Isthmian” canal would be, as Roosevelt said, “one of the future highways of civilization,” Hay considered anyone who opposed it, such as the “greedy little anthropoids” in Bogotá, barbaric and unworthy of respect.</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Hay’s diplomacy was more admirable when he was dealing with men he considered his equals, such as the European ministers he skillfully coerced into agreeing to the Open Door in China. Here, too, however, his success may have had inadvertent liabilities, since “a myth was established,” as Kennan put it, “which was destined to flourish in American thinking for at least a half-century.” The myth was that American statesmen could be relied on for ideas that would save the world.</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The main facts of Hay’s diplomacy have been known for a long time. It is an aspect of Hay’s private life that Taliaferro presents as a new discovery, one that subsequent writers on Hay have tended to accept, though McFarland, for one, adopts a more cautious attitude toward it. Adams and Hay had commissioned the architect H.H. Richardson to build adjacent houses on Lafayette Square (where the Hay-Adams Hotel now stands), opposite the White House. The ostentatious Hay residence had a gold-leaf ceiling and a fireplace of emerald green marble; the Adams house, inspired by Japanese design, was contrastingly austere. Just before the houses were complete, in late 1885, Adams’s wife, Clover, committed suicide, ingesting potassium cyanide used in her photographic work.</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Following this disaster, a group of friends came regularly to the Adams or the Hay residence, and often summered together, at Adams’s family retreat in Beverly Farms or at yet another Hay mansion in New Hampshire. The circle included the charismatic mining engineer Clarence King, Senator Henry Cabot Lodge and his wife, Nannie, and, centrally, Elizabeth Cameron, a native of Cleveland and the much younger wife of Pennsylvania Senator Donald Cameron, a rich, drunken lout. It has been widely believed for some time, and was given its fullest expression in Patricia O’Toole’s racy biographical study The Five of Hearts, that Hay was in love with Nannie Lodge, and that Adams in turn was in love with Lizzie Cameron. Taliaferro underplays Hay’s “conjectured” attachment with Mrs. Lodge, which he thinks “dimmed” with the years. He maintains, instead, that Hay, like Adams, was passionately in love with Mrs. Cameron, a famous beauty who posed as Nike in Saint-Gaudens’s gilded sculptural group, located at the southeast corner of Central Park, commemorating the victory march of General Sherman, Cameron’s uncle, through the defeated South.</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I suspect, however, that Cameron’s unavailability made Hay’s letters and love poems a harmless diversion. “The lady of my love bids me not to love her,” he wrote in one sonnet. “I can but bow obedient to her will.” His letters to her are carefully “diplomatic,” hedged with ambiguous longing and couched in the language of religious adulation. “My proud goddess,” he wrote, “my glorious beauty, my grand, sweet woman, I want to shut my eyes to everything about you here, and adore you as I did at Dulwich.” Such conventional remarks might be contrasted with Adams’s agonizing pleas to Lizzie: “I must always make more demand on you than you can gratify…. I am not old enough to be a tame cat; you are too old to accept me in any other character.”</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“On looking them over,” Cameron wrote, when William Roscoe Thayer asked if Hay’s letters to her might be included in a posthumous collection,</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t xml:space="preserve">I find that most of them are what would seem to anyone not well acquainted with Mr. Hay, ardent love letters! You, who must have handled many such, will understand that they merely express his habit of gallantry, and his love of writing pretty phrases.</w:t>
      </w:r>
    </w:p>
    <w:p w:rsidR="00000000" w:rsidDel="00000000" w:rsidP="00000000" w:rsidRDefault="00000000" w:rsidRPr="00000000" w14:paraId="00000061">
      <w:pPr>
        <w:contextualSpacing w:val="0"/>
        <w:rPr/>
      </w:pP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t xml:space="preserve">Taliaferro thinks Cameron is hiding something here. An easier explanation would be that she was right about Hay.</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Hay’s final years were marred by tragedy. His son Del, attending his Yale reunion during the summer of 1901, fell to his death, perhaps deliberately, from a hotel window. “Good luck has pursued me like my shadow,” Hay wrote Adams. “Now it is gone—it seems to me forever.” Barely two months later, McKinley was assassinated. Hay’s service under the undisciplined Roosevelt, who dismissed him as “a fine figurehead,” wore him down further. In his final diary entry, in June 1905, Hay wrote, “By mere length of service I shall occupy a modest place in the history of my time,” adding:</w:t>
      </w:r>
    </w:p>
    <w:p w:rsidR="00000000" w:rsidDel="00000000" w:rsidP="00000000" w:rsidRDefault="00000000" w:rsidRPr="00000000" w14:paraId="00000065">
      <w:pPr>
        <w:contextualSpacing w:val="0"/>
        <w:rPr/>
      </w:pPr>
      <w:r w:rsidDel="00000000" w:rsidR="00000000" w:rsidRPr="00000000">
        <w:rPr>
          <w:rtl w:val="0"/>
        </w:rPr>
      </w:r>
    </w:p>
    <w:p w:rsidR="00000000" w:rsidDel="00000000" w:rsidP="00000000" w:rsidRDefault="00000000" w:rsidRPr="00000000" w14:paraId="00000066">
      <w:pPr>
        <w:contextualSpacing w:val="0"/>
        <w:rPr/>
      </w:pPr>
      <w:r w:rsidDel="00000000" w:rsidR="00000000" w:rsidRPr="00000000">
        <w:rPr>
          <w:rtl w:val="0"/>
        </w:rPr>
        <w:t xml:space="preserve">I know death is the common lot, and what is universal ought not to be deemed a misfortune; and yet—instead of confronting it with dignity and philosophy, I cling instinctively to life and the things of life, as eagerly as if I had not had my chance at happiness &amp; gained nearly all the great prizes.</w:t>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Some of the prizes have not aged well. Too facile and self-consciously literary to be an interesting poet or writer of fiction, Hay held a lifelong allegiance to the party of Lincoln, which turned out to be similarly melodramatic. As the Republican Party abandoned its commitment to the less fortunate and embraced big business, Hay remained resolute. “To Hay,” Adams observed acidly, “the difference [between Democrat and Republican] was that of being respectable or not.”</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It is in Hay’s diplomacy that we should look for a new tone in foreign policy. After Hay managed to rally the Great Powers and the Chinese government, Henry Adams’s brother Brooks wrote admiringly, “I believe you to be one of the two or three Americans living who have measured the present situation, and that your policy will prove to have carried us round one of the great corners of our history.” It was Hay’s ability to quietly take the “measure” of an international crisis that struck his contemporaries as something new. A key word for Hay, in this respect, was to exploit what was “possible.” “I do what seems possible every day—not caring a hoot for consistency or the Absolute,” he wrote to Adams of the turmoil in China.</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If Hay’s rhetorical pitch was often too high or too low in his melodramatic fiction and his bathetic poetry, in his diplomacy of the possible he often found the right, the realistic measure. After Hay’s death, his close friend William Dean Howells, the foremost proponent of realism in fiction, handsomely called Hay “the most innately American of our statesmen.”</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 </w:t>
      </w:r>
    </w:p>
    <w:p w:rsidR="00000000" w:rsidDel="00000000" w:rsidP="00000000" w:rsidRDefault="00000000" w:rsidRPr="00000000" w14:paraId="0000006F">
      <w:pPr>
        <w:contextualSpacing w:val="0"/>
        <w:rPr/>
      </w:pPr>
      <w:r w:rsidDel="00000000" w:rsidR="00000000" w:rsidRPr="00000000">
        <w:rPr>
          <w:rtl w:val="0"/>
        </w:rPr>
        <w:t xml:space="preserve">------</w:t>
      </w:r>
    </w:p>
    <w:p w:rsidR="00000000" w:rsidDel="00000000" w:rsidP="00000000" w:rsidRDefault="00000000" w:rsidRPr="00000000" w14:paraId="00000070">
      <w:pPr>
        <w:contextualSpacing w:val="0"/>
        <w:rPr/>
      </w:pPr>
      <w:r w:rsidDel="00000000" w:rsidR="00000000" w:rsidRPr="00000000">
        <w:rPr>
          <w:rtl w:val="0"/>
        </w:rPr>
        <w:t xml:space="preserve">Circling the Square</w:t>
      </w:r>
    </w:p>
    <w:p w:rsidR="00000000" w:rsidDel="00000000" w:rsidP="00000000" w:rsidRDefault="00000000" w:rsidRPr="00000000" w14:paraId="00000071">
      <w:pPr>
        <w:contextualSpacing w:val="0"/>
        <w:rPr/>
      </w:pPr>
      <w:r w:rsidDel="00000000" w:rsidR="00000000" w:rsidRPr="00000000">
        <w:rPr>
          <w:rtl w:val="0"/>
        </w:rPr>
        <w:t xml:space="preserve">John Gray MARCH 22, 2018 ISSUE</w:t>
      </w:r>
    </w:p>
    <w:p w:rsidR="00000000" w:rsidDel="00000000" w:rsidP="00000000" w:rsidRDefault="00000000" w:rsidRPr="00000000" w14:paraId="00000072">
      <w:pPr>
        <w:contextualSpacing w:val="0"/>
        <w:rPr/>
      </w:pPr>
      <w:r w:rsidDel="00000000" w:rsidR="00000000" w:rsidRPr="00000000">
        <w:rPr>
          <w:rtl w:val="0"/>
        </w:rPr>
        <w:t xml:space="preserve">The Square and the Tower: Networks and Power, from the Freemasons to Facebook</w:t>
      </w:r>
    </w:p>
    <w:p w:rsidR="00000000" w:rsidDel="00000000" w:rsidP="00000000" w:rsidRDefault="00000000" w:rsidRPr="00000000" w14:paraId="00000073">
      <w:pPr>
        <w:contextualSpacing w:val="0"/>
        <w:rPr/>
      </w:pPr>
      <w:r w:rsidDel="00000000" w:rsidR="00000000" w:rsidRPr="00000000">
        <w:rPr>
          <w:rtl w:val="0"/>
        </w:rPr>
        <w:t xml:space="preserve">by Niall Ferguson</w:t>
      </w:r>
    </w:p>
    <w:p w:rsidR="00000000" w:rsidDel="00000000" w:rsidP="00000000" w:rsidRDefault="00000000" w:rsidRPr="00000000" w14:paraId="00000074">
      <w:pPr>
        <w:contextualSpacing w:val="0"/>
        <w:rPr/>
      </w:pPr>
      <w:r w:rsidDel="00000000" w:rsidR="00000000" w:rsidRPr="00000000">
        <w:rPr>
          <w:rtl w:val="0"/>
        </w:rPr>
        <w:t xml:space="preserve">Penguin, 563 pp., $30.00</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Bibliothèque nationale de France</w:t>
      </w:r>
    </w:p>
    <w:p w:rsidR="00000000" w:rsidDel="00000000" w:rsidP="00000000" w:rsidRDefault="00000000" w:rsidRPr="00000000" w14:paraId="00000077">
      <w:pPr>
        <w:contextualSpacing w:val="0"/>
        <w:rPr/>
      </w:pPr>
      <w:r w:rsidDel="00000000" w:rsidR="00000000" w:rsidRPr="00000000">
        <w:rPr>
          <w:rtl w:val="0"/>
        </w:rPr>
        <w:t xml:space="preserve">‘The Kings’ Cake, Cut at the Congress of Vienna,’ 1815; from Niall Ferguson’s The Square and the Tower, in which he argues that ‘the “cake of kings” could only be cut up with the help of the Rothschilds’ financial network’</w:t>
      </w:r>
    </w:p>
    <w:p w:rsidR="00000000" w:rsidDel="00000000" w:rsidP="00000000" w:rsidRDefault="00000000" w:rsidRPr="00000000" w14:paraId="00000078">
      <w:pPr>
        <w:contextualSpacing w:val="0"/>
        <w:rPr/>
      </w:pPr>
      <w:r w:rsidDel="00000000" w:rsidR="00000000" w:rsidRPr="00000000">
        <w:rPr>
          <w:rtl w:val="0"/>
        </w:rPr>
        <w:t xml:space="preserve">The Square and the Tower claims to present “a new historical narrative, in which major changes—dating back to the Age of Discovery and the Reformation, if not earlier—can be understood, in essence, as disruptive challenges to established hierarchies by networks.” Social networks “have always been much more important in history than most historians, fixated as they have been on hierarchical organizations such as states, have allowed,” and never more so than in modern times. The first “networked era” followed the introduction of the printing press in Europe in the late fifteenth century. The second such era—our own—dates from the 1970s, and the pace of change has accelerated along with new communication technologies.</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The intervening period, from the late 1790s until the late 1960s, saw the opposite trend: hierarchical institutions re-established their control and successfully shut down or co-opted networks. The zenith of hierarchically organized power was in fact the mid-twentieth century—the era of totalitarian regimes and total wars.</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Today we live in “the network age.”</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Niall Ferguson believes that until recently networks have been neglected by historians, who prefer to study institutions that leave well-preserved and accessible archives. He confesses that he has only recently come to appreciate that his own books “were also books about networks.” For many years the British-born financial historian, chronicler of the Rothschild banks, television broadcaster, and prolific journalist had been “casual” in the way he thought about networks. When writing about the career of Siegmund Warburg, he had in his mind’s eye “a vague diagram that connected Warburg to other members of the German-Jewish business elite through various ties of kinship, business and ‘elective affinity.’” Yet it did not occur to Ferguson to “think in a rigorous way about that network.” He had yet to adopt “formal network analysis.” This book, he writes, “is an attempt to atone for those sins of omission.”</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If the study of networks enables a new kind of historical narrative to be written, one might suppose that human history is the chief area in which they operate. But when Ferguson attempts to spell out how they work, he begins with biology: “The animal circulatory, respiratory, renal, neural systems are all natural networks. So are plant vascular systems and the microtubial and mitochondrial networks inside cells…. From worms’ brains to food chains (or ‘food webs’), modern biology finds networks at all levels of life on earth.” A page later, he tells the reader:</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t xml:space="preserve">Homo sapiens evolved as a cooperative ape, with a unique ability to network…. Indeed, our species should really be known as Homo dictyous (“network man”)…. Man, with his unrivalled neural network, was born to network.</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Networks, it seems, are not only pervasive in the natural world but also quintessentially human.</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t xml:space="preserve">These are large claims, but they are not new. Attempts to explain historical change in terms derived from biology recur throughout modern thought. The Victorian prophet of laissez-faire capitalism Herbert Spencer argued that the free market emerged through a process of evolutionary competition with other economic systems—a claim reiterated in the twentieth century by the Austrian-British economist F.A. Hayek. The early-twentieth-century British sociologist and Fabian Beatrice Webb (who worked as Spencer’s assistant for a time) believed that Soviet collectivism was the next phase in political evolution. Francis Fukuyama used to believe that countries throughout much of the world were evolving in the direction of Western democratic capitalism. The direction of the process may differ, but theories of social evolution form a major strand in modern thinking.</w:t>
      </w:r>
    </w:p>
    <w:p w:rsidR="00000000" w:rsidDel="00000000" w:rsidP="00000000" w:rsidRDefault="00000000" w:rsidRPr="00000000" w14:paraId="00000087">
      <w:pPr>
        <w:contextualSpacing w:val="0"/>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rtl w:val="0"/>
        </w:rPr>
        <w:t xml:space="preserve">There are many problems with such theories. Darwinian evolution, a process operating through the natural selection of random mutations, has no analogue in history. The underlying unit of natural selection is the gene, a physical structure with definite and specifiable characteristics. No such unit has been identified in society. What exactly are Ferguson’s ubiquitous networks, whose pivotal part in human events he believes has been so badly neglected? Though the book’s central story concerns conflict between networks and hierarchies, he tells us they are not simply opposites: “This dichotomy between hierarchy and networks is an over-simplification.” Indeed, “far from being the opposite of a network, a hierarchy is just a special kind of network.” But if networks and hierarchies are not distinct types of social organization, how can we know how they interact and compete with each other? How can we tell the difference between them in any particular historical situation?</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Ferguson never properly answers these questions. Instead he offers a mix of metaphor and what purports to be a new science. The square and the tower that give the book its title are the Torre del Mangia and the Piazza del Campo in Siena, which for six centuries have embodied two types of organization and power: vertical and horizontal. These forms of social organization are exemplified in corporate life today: “When employees from different firms meet for alcoholic refreshments after work, they move from the vertical tower of the corporation to the horizontal square of the social network.” But do employees make this radical transition when they go to the bar together? Or do they remain unequally constrained by the hierarchies of the organization? The metaphor of vertical and horizontal power cannot answer such questions.</w:t>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tl w:val="0"/>
        </w:rPr>
        <w:t xml:space="preserve">Turning from business to politics, Ferguson faces similar difficulties when he discusses how the Bolshevik Party changed after it came to power in Russia: “The Bolsheviks turned their revolutionary network into a new hierarchical system, in many respects much harsher than the old Tsarist regime.” The suggestion is that before the revolution the Bolsheviks were a conspiratorial fraternity not unlike the late-eighteenth-century Bavarian Order of the Illuminati, one of several secret societies Ferguson discusses and to which he devotes the book’s first chapter: “No case better illustrates the historical significance of networks than that of the Illuminati.” But as he acknowledges, the Illuminati network was from the beginning structured on hierarchical lines. There were three grades of membership, and “the lower ranks were to be given only the vaguest insights into the Order’s goals and methods.” The Bolshevik Party was also founded and organized as a hierarchy, with Lenin and his closest comrades at the top. Were these “horizontal” or “vertical” organizations? Both at the same time? Or did they shift at some point from one to the other? A figure of speech cannot tell us.</w:t>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It may be from an awareness of the limitations of metaphor that Ferguson invokes “network science” repeatedly in The Square and the Tower. The text is embellished with dozens of “network diagrams,” which illustrate “the foundational concepts of network theory,” the Medici network, the sexual network of the Bloomsbury Group circa 1925, the “ego networks” of Richard Nixon and Henry Kissinger, a “network design” of the Arpanet (the proto-version of the Internet), Donald Trump’s 2016 online network, and the Chinese Communist Party Central Committee members’ network, among others.</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With the diagrams comes a technical jargon. The importance of individuals in a network can be measured with respect to three kinds of centrality: “degree centrality, betweenness centrality and closeness centrality,” measuring the number of relationships an individual has with others, “the extent to which information passes through a particular node,” and “the average number of ‘steps’ it takes for a node to reach all other nodes.” Using such diagrams, Ferguson suggests, we can better understand historical events. For example, when Protestants suffered persecution in England during the reign of Mary I, the execution of fourteen of the top twenty nodes did not destroy the network because figures with high “betweenness centrality” took over. He illustrates the effect in diagrams of the Protestant network immediately before and after the execution of one of its major “hubs” in July 1555.</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Ferguson summarizes network theory in seven ideas: “No man is an island”—individuals can be understood in terms of the “nodes” or “edges” that connect them; “Birds of a feather flock together”—like attracts like; “Weak ties” are strong—a network can be resilient if it is connected with other networks, even if only through weak links; “Structure determines virality”—“some ideas go viral because of structural features of the network through which they spread”; “Networks never sleep”—they are not static but dynamic, and can evolve into complex adaptive systems with emergent properties; “Networks network”—when networks interact, the result may be innovation and invention; seventh and lastly, “The rich get richer. Because of preferential attachment, most social networks are profoundly inegalitarian.” “When we understand these core insights of network science,” Ferguson concludes, “the history of mankind looks quite different.”</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Maybe it does. But can network theory explain why significant historical shifts happen? A case cited by Ferguson suggests otherwise. “In the history of networks,” he tells us, “few episodes are more instructive than that of the Cambridge Spies.” Chapter 39, “The Ring of Five,” begins with an expression of puzzlement: “So repulsive were both the totalitarian regimes—Hitler’s and Stalin’s—that it remains difficult to fathom why anyone living in a free society would have been attracted to either of them.”</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In chapter 33, Ferguson discusses how members of the Cambridge Apostles, the exclusive “Conversazione Society” founded in 1820, “had become estranged from Victorian values both sexually and politically around 1900.” At Oxford, a network had formed around the imperialist ideas of the former high commissioner of South Africa Alfred Milner, which envisioned “a muscular, martial, imperial and heterosexual future.” Cambridge was quite different. After 1900, Ferguson tells us, “the network that evolved there in and around the Cambridge ‘Apostles’ was effete, pacifist, liberal and homosexual.” Prominent Apostles included Lytton Strachey, John Maynard Keynes, and E.M. Forster. Not all Apostles were gay or bisexual, “but a rising proportion were. And even those (like [Leonard] Woolf) who were not nevertheless subscribed to the somewhat solipsistic ideals of the gay ‘brothers.’”</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 xml:space="preserve">Andrew H. Walker/Getty Images</w:t>
      </w:r>
    </w:p>
    <w:p w:rsidR="00000000" w:rsidDel="00000000" w:rsidP="00000000" w:rsidRDefault="00000000" w:rsidRPr="00000000" w14:paraId="0000009A">
      <w:pPr>
        <w:contextualSpacing w:val="0"/>
        <w:rPr/>
      </w:pPr>
      <w:r w:rsidDel="00000000" w:rsidR="00000000" w:rsidRPr="00000000">
        <w:rPr>
          <w:rtl w:val="0"/>
        </w:rPr>
        <w:t xml:space="preserve">Niall Ferguson, right, with Adrian Pennick at the International Emmy Awards, where their BBC series The Ascent of Money won best documentary, New York City, 2009</w:t>
      </w:r>
    </w:p>
    <w:p w:rsidR="00000000" w:rsidDel="00000000" w:rsidP="00000000" w:rsidRDefault="00000000" w:rsidRPr="00000000" w14:paraId="0000009B">
      <w:pPr>
        <w:contextualSpacing w:val="0"/>
        <w:rPr/>
      </w:pPr>
      <w:r w:rsidDel="00000000" w:rsidR="00000000" w:rsidRPr="00000000">
        <w:rPr>
          <w:rtl w:val="0"/>
        </w:rPr>
        <w:t xml:space="preserve">In 1939, Ferguson notes, Forster was writing that if he had to choose between betraying his country and betraying his friend, “I hope I should have the guts to betray my country…. Love and loyalty to an individual can run counter to the claims of a State. When they do—down with the State, say I.” By the outbreak of World War I, “a significant proportion of Apostles agreed with E.M. Forster’s position that friendship came before loyalty to King and Country.” A later generation “took this estrangement a step further: from conscientious objection to treason.” Among the Cambridge spies, Antony Blunt joined the Apostles in 1928 and sponsored Guy Burgess as a member four years later. “Both were academically brilliant. And both were gay…. However, the historically significant fact about Blunt and Burgess is that they were Communists who willingly offered their services to Stalin.”</w:t>
      </w:r>
    </w:p>
    <w:p w:rsidR="00000000" w:rsidDel="00000000" w:rsidP="00000000" w:rsidRDefault="00000000" w:rsidRPr="00000000" w14:paraId="0000009C">
      <w:pPr>
        <w:contextualSpacing w:val="0"/>
        <w:rPr/>
      </w:pPr>
      <w:r w:rsidDel="00000000" w:rsidR="00000000" w:rsidRPr="00000000">
        <w:rPr>
          <w:rtl w:val="0"/>
        </w:rPr>
      </w:r>
    </w:p>
    <w:p w:rsidR="00000000" w:rsidDel="00000000" w:rsidP="00000000" w:rsidRDefault="00000000" w:rsidRPr="00000000" w14:paraId="0000009D">
      <w:pPr>
        <w:contextualSpacing w:val="0"/>
        <w:rPr/>
      </w:pPr>
      <w:r w:rsidDel="00000000" w:rsidR="00000000" w:rsidRPr="00000000">
        <w:rPr>
          <w:rtl w:val="0"/>
        </w:rPr>
        <w:t xml:space="preserve">Ferguson reiterates his sense of puzzlement: “Why did they do it?” He rejects as “naive” the idea that they were “all men of principle,…disillusioned by the policy of appeasement, who saw Stalin as the only credible counterweight to Hitler.” Many British spies working for the Soviet Union, he points out, were especially active during the period “when Hitler and Stalin were on the same side—and, of course, the other side from Great Britain.” What then could have motivated them to switch their loyalties from a functioning liberal democracy to one of its enemies, a murderous tyranny?</w:t>
      </w:r>
    </w:p>
    <w:p w:rsidR="00000000" w:rsidDel="00000000" w:rsidP="00000000" w:rsidRDefault="00000000" w:rsidRPr="00000000" w14:paraId="0000009E">
      <w:pPr>
        <w:contextualSpacing w:val="0"/>
        <w:rPr/>
      </w:pPr>
      <w:r w:rsidDel="00000000" w:rsidR="00000000" w:rsidRPr="00000000">
        <w:rPr>
          <w:rtl w:val="0"/>
        </w:rPr>
      </w:r>
    </w:p>
    <w:p w:rsidR="00000000" w:rsidDel="00000000" w:rsidP="00000000" w:rsidRDefault="00000000" w:rsidRPr="00000000" w14:paraId="0000009F">
      <w:pPr>
        <w:contextualSpacing w:val="0"/>
        <w:rPr/>
      </w:pPr>
      <w:r w:rsidDel="00000000" w:rsidR="00000000" w:rsidRPr="00000000">
        <w:rPr>
          <w:rtl w:val="0"/>
        </w:rPr>
        <w:t xml:space="preserve">One reason may have been the appeal of communism as a secular religion, serving the same need to find meaning in history as monotheism had and demanding unthinking obedience from its believers—attractions that, according to Arthur Koestler, moved many intellectuals to convert to communism in interwar Europe. Or perhaps the explanation was more parochially British: most of the spies were members of an elite that realized British power was in decline and aimed to become part of the ruling class in what appeared to them to be the rising power—the Soviet Union. To my mind both accounts have some plausibility, but Ferguson does not discuss either of them. Unless the explanation lies in the “solipsistic” culture that grew up around the Apostles—an implausible view, given that most of the spies recruited in Britain by the Soviets in the period leading up to World War II were not Apostles or gay—he offers no reason for the treasonous behavior of a significant section of the British elite. Network theory seems silent on the subject.</w:t>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pPr>
      <w:r w:rsidDel="00000000" w:rsidR="00000000" w:rsidRPr="00000000">
        <w:rPr>
          <w:rtl w:val="0"/>
        </w:rPr>
        <w:t xml:space="preserve">In fact nothing in “network science” can tell us why historical agents—the Illuminati, the Bolsheviks, the Cambridge spies—acted as they did. The scientific credentials of network theory are highly questionable. Ferguson seems confident that</w:t>
      </w:r>
    </w:p>
    <w:p w:rsidR="00000000" w:rsidDel="00000000" w:rsidP="00000000" w:rsidRDefault="00000000" w:rsidRPr="00000000" w14:paraId="000000A2">
      <w:pPr>
        <w:contextualSpacing w:val="0"/>
        <w:rPr/>
      </w:pPr>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t xml:space="preserve">network science offers the best way of understanding why some ideas can spread very rapidly. Ideas…can be transmitted through a social network, not unlike a contagious virus. However, ideas (or “memes,” to use the evolutionist’s neologism) are generally less contagious than viruses.</w:t>
      </w:r>
    </w:p>
    <w:p w:rsidR="00000000" w:rsidDel="00000000" w:rsidP="00000000" w:rsidRDefault="00000000" w:rsidRPr="00000000" w14:paraId="000000A4">
      <w:pPr>
        <w:contextualSpacing w:val="0"/>
        <w:rPr/>
      </w:pPr>
      <w:r w:rsidDel="00000000" w:rsidR="00000000" w:rsidRPr="00000000">
        <w:rPr>
          <w:rtl w:val="0"/>
        </w:rPr>
      </w:r>
    </w:p>
    <w:p w:rsidR="00000000" w:rsidDel="00000000" w:rsidP="00000000" w:rsidRDefault="00000000" w:rsidRPr="00000000" w14:paraId="000000A5">
      <w:pPr>
        <w:contextualSpacing w:val="0"/>
        <w:rPr/>
      </w:pPr>
      <w:r w:rsidDel="00000000" w:rsidR="00000000" w:rsidRPr="00000000">
        <w:rPr>
          <w:rtl w:val="0"/>
        </w:rPr>
        <w:t xml:space="preserve">But what are memes, and how are they “transmitted”? They are supposed to be units of meaning or information that compete in a process of natural selection analogous to that which operates on genes. Discussing Lenin’s rise to power, Ferguson reverts to metaphor again: “The Bolshevik virus travelled by train and telegraph.” Literate soldiers, workers, and sailors were most susceptible to “the Bolshevik plague,” succumbing quickly in the ensuing “epidemic.”</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 xml:space="preserve">But memes are not observable physical structures like viruses. Is Romanticism a meme, or Christianity? Or the Gothic style in architecture? Like genes, viruses are identified by well-established scientific methods. Memes cannot be distinguished from one another by any objective properties. Like Ferguson’s horizontal and vertical modes of power, they are metaphorical devices. How networks and hierarchies are differentiated from each other depends more on the elasticity of language than on any facts of the matter.</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rPr/>
      </w:pPr>
      <w:r w:rsidDel="00000000" w:rsidR="00000000" w:rsidRPr="00000000">
        <w:rPr>
          <w:rtl w:val="0"/>
        </w:rPr>
        <w:t xml:space="preserve">In truth, network theory is not a theory at all. Theories that attempt to explain large-scale historical changes may be crude. Inasmuch as nationalism and religion have continued to act as autonomous forces in politics, Karl Marx’s historical materialism has not been borne out by events. Still, Marx’s account illuminated social conflicts, showing how political struggles are often rooted in economic divisions. If it failed as a general theory, it had at least the merit of being demonstrably false. “Network theory,” on the other hand, is much too nebulous to be either true or false.</w:t>
      </w:r>
    </w:p>
    <w:p w:rsidR="00000000" w:rsidDel="00000000" w:rsidP="00000000" w:rsidRDefault="00000000" w:rsidRPr="00000000" w14:paraId="000000AA">
      <w:pPr>
        <w:contextualSpacing w:val="0"/>
        <w:rPr/>
      </w:pPr>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t xml:space="preserve">The advantage of a discourse of networks, for Ferguson, is that it gives the impression that the story he tells has the authority of science. He takes the reader on a high-speed tour from the Third Dynasty of Ur in southern Mesopotamia circa 2100–2000 BC to the media-assisted political disruptions of the present time. Along the way he offers snapshots of many institutions and episodes, including the Holy Roman Empire, the emergence of modern banking along with the advent of Medici rule in Florence, the impact of the printing press on the spread of Lutheranism, Freemasonry in the French and American Revolutions, the restoration of European order after Napoleon, the significance of steam power and electrical cables in the British Empire, the Taiping rebellion in late-nineteenth-century China, the Arab revolt against the Ottomans in 1916, National Socialism as “a movement” that “can be said to have gone viral between 1930 and 1933,” the “brief encounter” of the British philosopher and historian of ideas Isaiah Berlin with the Russian poet Anna Akhmatova in Leningrad in 1945, “the transition to a more networked world” in the 1970s and “the triumph of Davos man” that supposedly ensued, and George Soros’s part in “breaking the Bank of England” in September 1992, together with vignettes of the use of networks in the September 11 attacks, the ascendancy of Facebook as a distance-conquering social network, the rise of ISIS, Brexit (which Ferguson describes as “a victory for a network—and network science—over the hierarchy of the British establishment”), and Trump’s electoral victory.</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contextualSpacing w:val="0"/>
        <w:rPr/>
      </w:pPr>
      <w:r w:rsidDel="00000000" w:rsidR="00000000" w:rsidRPr="00000000">
        <w:rPr>
          <w:rtl w:val="0"/>
        </w:rPr>
        <w:t xml:space="preserve">Not all of these vignettes serve any discernible purpose. What does an anecdote about Isaiah Berlin and Anna Akhmatova have to do with the book’s central narrative? Perhaps it serves to distract from the fact that Ferguson’s conflict between networks and hierarchies reiterates an old and familiar story. As set out by nineteenth-century writers such as T.B. Macaulay and W.E.H. Lecky, the Whig interpretation of history told the story of humankind as a march from ignorance and tyranny to enlightened liberty. Ferguson echoes this view when he writes:</w:t>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t xml:space="preserve">For most of recorded history, hierarchies dominated networks in their scope and scale. Men and women were mostly organized into hierarchical structures, with power concentrated at the very top in the hands of a chief, lord, king or emperor. By contrast, the average individual’s network was stunted in its scale.</w:t>
      </w:r>
    </w:p>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contextualSpacing w:val="0"/>
        <w:rPr/>
      </w:pPr>
      <w:r w:rsidDel="00000000" w:rsidR="00000000" w:rsidRPr="00000000">
        <w:rPr>
          <w:rtl w:val="0"/>
        </w:rPr>
        <w:t xml:space="preserve">As we approach modern times, the human condition improves with the rise of the free market: “Friedrich Hayek was one of the first to rediscover Adam Smith’s old insight that the spontaneous order of the market was bound to be superior to ‘any that could have been achieved by deliberate organization.’”</w:t>
      </w:r>
    </w:p>
    <w:p w:rsidR="00000000" w:rsidDel="00000000" w:rsidP="00000000" w:rsidRDefault="00000000" w:rsidRPr="00000000" w14:paraId="000000B2">
      <w:pPr>
        <w:contextualSpacing w:val="0"/>
        <w:rPr/>
      </w:pPr>
      <w:r w:rsidDel="00000000" w:rsidR="00000000" w:rsidRPr="00000000">
        <w:rPr>
          <w:rtl w:val="0"/>
        </w:rPr>
      </w:r>
    </w:p>
    <w:p w:rsidR="00000000" w:rsidDel="00000000" w:rsidP="00000000" w:rsidRDefault="00000000" w:rsidRPr="00000000" w14:paraId="000000B3">
      <w:pPr>
        <w:contextualSpacing w:val="0"/>
        <w:rPr/>
      </w:pPr>
      <w:r w:rsidDel="00000000" w:rsidR="00000000" w:rsidRPr="00000000">
        <w:rPr>
          <w:rtl w:val="0"/>
        </w:rPr>
        <w:t xml:space="preserve">It is an oft-told tale. But why should the reader accept it? Other accounts of the origins of market society are available, after all. The political economist Karl Polanyi presented an opposite view in The Great Transformation (1944),1 in which he described free markets as artifacts of state power, constructed by the ruling hierarchies of early Victorian England as a means of breaking up social networks that had been inherited from premodern times in order to promote laissez-faire capitalism. Inverting Ferguson’s account, Polanyi’s is in some ways more convincing. Ferguson does not mention it.</w:t>
      </w:r>
    </w:p>
    <w:p w:rsidR="00000000" w:rsidDel="00000000" w:rsidP="00000000" w:rsidRDefault="00000000" w:rsidRPr="00000000" w14:paraId="000000B4">
      <w:pPr>
        <w:contextualSpacing w:val="0"/>
        <w:rPr/>
      </w:pP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rtl w:val="0"/>
        </w:rPr>
        <w:t xml:space="preserve">The Square and the Tower may be best read as a presentation of the Whig interpretation of history to an audience of hedge fund investors. Consisting of a series of historical snapshots thinly glossed with large ideas, the format of the book—sixty thumbnail chapters, interspersed with diagrams—is that of a PowerPoint presentation. This is not a study of history but another of the business books that have become familiar sights in airport newsstands in recent decades. While notably more erudite, The Square and The Tower belongs in the same genre as Malcolm Gladwell’s The Tipping Point (2000) and Thomas Friedman’s The World Is Flat (2005).2</w:t>
      </w:r>
    </w:p>
    <w:p w:rsidR="00000000" w:rsidDel="00000000" w:rsidP="00000000" w:rsidRDefault="00000000" w:rsidRPr="00000000" w14:paraId="000000B6">
      <w:pPr>
        <w:contextualSpacing w:val="0"/>
        <w:rPr/>
      </w:pPr>
      <w:r w:rsidDel="00000000" w:rsidR="00000000" w:rsidRPr="00000000">
        <w:rPr>
          <w:rtl w:val="0"/>
        </w:rPr>
      </w:r>
    </w:p>
    <w:p w:rsidR="00000000" w:rsidDel="00000000" w:rsidP="00000000" w:rsidRDefault="00000000" w:rsidRPr="00000000" w14:paraId="000000B7">
      <w:pPr>
        <w:contextualSpacing w:val="0"/>
        <w:rPr/>
      </w:pPr>
      <w:r w:rsidDel="00000000" w:rsidR="00000000" w:rsidRPr="00000000">
        <w:rPr>
          <w:rtl w:val="0"/>
        </w:rPr>
        <w:t xml:space="preserve">Along with nearly all such books, Ferguson’s portrays the present time as one in which the creative energies of entrepreneurs have been unshackled from regulation by an overmighty state. To his credit, his version of this view is more nuanced than most. He cautions against underestimating “both the resilience of the old hierarchies and the vulnerabilities of the new networks—not to mention their capacity to fuse to form even newer power structures, with capabilities potentially greater even than those of the last century’s totalitarian states.” Yet throughout he represents networks, especially those of business, as being inherently more innovative and productive than any government can be. An interpretation of history well suited to triumphal gatherings in Swiss mountain resorts, it may also be one whose time has passed.</w:t>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pPr>
      <w:r w:rsidDel="00000000" w:rsidR="00000000" w:rsidRPr="00000000">
        <w:rPr>
          <w:rtl w:val="0"/>
        </w:rPr>
        <w:t xml:space="preserve">The last word on networks and hierarchies may belong to a figure not usually remembered for his intellectual acumen. Toward the end of his life, it has been reported, Stanley Baldwin (1867–1947)—former Conservative British prime minister, astute political operator, and pig breeder—was asked whether he had been influenced by any thinker or book. After a long pause, he replied, “Sir Henry Maine.” In his once-celebrated book Ancient Law (1861), Baldwin continued, the eminent Victorian jurist showed that history was a process of progressive development in which societies governed by status were gradually replaced by ones based on contract. Then Baldwin paused again, seemingly puzzled, and asked: “Or was it the other way around?”3</w:t>
      </w:r>
    </w:p>
    <w:p w:rsidR="00000000" w:rsidDel="00000000" w:rsidP="00000000" w:rsidRDefault="00000000" w:rsidRPr="00000000" w14:paraId="000000BA">
      <w:pPr>
        <w:contextualSpacing w:val="0"/>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t xml:space="preserve">1</w:t>
      </w:r>
    </w:p>
    <w:p w:rsidR="00000000" w:rsidDel="00000000" w:rsidP="00000000" w:rsidRDefault="00000000" w:rsidRPr="00000000" w14:paraId="000000BC">
      <w:pPr>
        <w:contextualSpacing w:val="0"/>
        <w:rPr/>
      </w:pPr>
      <w:r w:rsidDel="00000000" w:rsidR="00000000" w:rsidRPr="00000000">
        <w:rPr>
          <w:rFonts w:ascii="Arial Unicode MS" w:cs="Arial Unicode MS" w:eastAsia="Arial Unicode MS" w:hAnsi="Arial Unicode MS"/>
          <w:rtl w:val="0"/>
        </w:rPr>
        <w:t xml:space="preserve">See Robert Kuttner, “The Man from Red Vienna,” The New York Review, December 21, 2017.  ↩</w:t>
      </w:r>
    </w:p>
    <w:p w:rsidR="00000000" w:rsidDel="00000000" w:rsidP="00000000" w:rsidRDefault="00000000" w:rsidRPr="00000000" w14:paraId="000000BD">
      <w:pPr>
        <w:contextualSpacing w:val="0"/>
        <w:rPr/>
      </w:pPr>
      <w:r w:rsidDel="00000000" w:rsidR="00000000" w:rsidRPr="00000000">
        <w:rPr>
          <w:rtl w:val="0"/>
        </w:rPr>
      </w:r>
    </w:p>
    <w:p w:rsidR="00000000" w:rsidDel="00000000" w:rsidP="00000000" w:rsidRDefault="00000000" w:rsidRPr="00000000" w14:paraId="000000BE">
      <w:pPr>
        <w:contextualSpacing w:val="0"/>
        <w:rPr/>
      </w:pPr>
      <w:r w:rsidDel="00000000" w:rsidR="00000000" w:rsidRPr="00000000">
        <w:rPr>
          <w:rtl w:val="0"/>
        </w:rPr>
        <w:t xml:space="preserve">2</w:t>
      </w:r>
    </w:p>
    <w:p w:rsidR="00000000" w:rsidDel="00000000" w:rsidP="00000000" w:rsidRDefault="00000000" w:rsidRPr="00000000" w14:paraId="000000BF">
      <w:pPr>
        <w:contextualSpacing w:val="0"/>
        <w:rPr/>
      </w:pPr>
      <w:r w:rsidDel="00000000" w:rsidR="00000000" w:rsidRPr="00000000">
        <w:rPr>
          <w:rFonts w:ascii="Arial Unicode MS" w:cs="Arial Unicode MS" w:eastAsia="Arial Unicode MS" w:hAnsi="Arial Unicode MS"/>
          <w:rtl w:val="0"/>
        </w:rPr>
        <w:t xml:space="preserve">I discussed Friedman’s book in “The World Is Round,” The New York Review, August 11, 2005.  ↩</w:t>
      </w:r>
    </w:p>
    <w:p w:rsidR="00000000" w:rsidDel="00000000" w:rsidP="00000000" w:rsidRDefault="00000000" w:rsidRPr="00000000" w14:paraId="000000C0">
      <w:pPr>
        <w:contextualSpacing w:val="0"/>
        <w:rPr/>
      </w:pPr>
      <w:r w:rsidDel="00000000" w:rsidR="00000000" w:rsidRPr="00000000">
        <w:rPr>
          <w:rtl w:val="0"/>
        </w:rPr>
      </w:r>
    </w:p>
    <w:p w:rsidR="00000000" w:rsidDel="00000000" w:rsidP="00000000" w:rsidRDefault="00000000" w:rsidRPr="00000000" w14:paraId="000000C1">
      <w:pPr>
        <w:contextualSpacing w:val="0"/>
        <w:rPr/>
      </w:pPr>
      <w:r w:rsidDel="00000000" w:rsidR="00000000" w:rsidRPr="00000000">
        <w:rPr>
          <w:rtl w:val="0"/>
        </w:rPr>
        <w:t xml:space="preserve">3</w:t>
      </w:r>
    </w:p>
    <w:p w:rsidR="00000000" w:rsidDel="00000000" w:rsidP="00000000" w:rsidRDefault="00000000" w:rsidRPr="00000000" w14:paraId="000000C2">
      <w:pPr>
        <w:contextualSpacing w:val="0"/>
        <w:rPr/>
      </w:pPr>
      <w:r w:rsidDel="00000000" w:rsidR="00000000" w:rsidRPr="00000000">
        <w:rPr>
          <w:rFonts w:ascii="Arial Unicode MS" w:cs="Arial Unicode MS" w:eastAsia="Arial Unicode MS" w:hAnsi="Arial Unicode MS"/>
          <w:rtl w:val="0"/>
        </w:rPr>
        <w:t xml:space="preserve">Roy Jenkins, Portraits and Miniatures: Selected Writings (Macmillan, 1993), p. 157. ↩</w:t>
      </w:r>
    </w:p>
    <w:p w:rsidR="00000000" w:rsidDel="00000000" w:rsidP="00000000" w:rsidRDefault="00000000" w:rsidRPr="00000000" w14:paraId="000000C3">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