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Feb 4 2018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Emperor Robeson</w:t>
      </w:r>
    </w:p>
    <w:p w:rsidR="00000000" w:rsidDel="00000000" w:rsidP="00000000" w:rsidRDefault="00000000" w:rsidRPr="00000000">
      <w:pPr>
        <w:contextualSpacing w:val="0"/>
        <w:rPr/>
      </w:pPr>
      <w:r w:rsidDel="00000000" w:rsidR="00000000" w:rsidRPr="00000000">
        <w:rPr>
          <w:rtl w:val="0"/>
        </w:rPr>
        <w:t xml:space="preserve">Simon Callow FEBRUARY 8, 2018 ISSUE</w:t>
      </w:r>
    </w:p>
    <w:p w:rsidR="00000000" w:rsidDel="00000000" w:rsidP="00000000" w:rsidRDefault="00000000" w:rsidRPr="00000000">
      <w:pPr>
        <w:contextualSpacing w:val="0"/>
        <w:rPr/>
      </w:pPr>
      <w:r w:rsidDel="00000000" w:rsidR="00000000" w:rsidRPr="00000000">
        <w:rPr>
          <w:rtl w:val="0"/>
        </w:rPr>
        <w:t xml:space="preserve">Paul Robeson: The Artist as Revolutionary</w:t>
      </w:r>
    </w:p>
    <w:p w:rsidR="00000000" w:rsidDel="00000000" w:rsidP="00000000" w:rsidRDefault="00000000" w:rsidRPr="00000000">
      <w:pPr>
        <w:contextualSpacing w:val="0"/>
        <w:rPr/>
      </w:pPr>
      <w:r w:rsidDel="00000000" w:rsidR="00000000" w:rsidRPr="00000000">
        <w:rPr>
          <w:rtl w:val="0"/>
        </w:rPr>
        <w:t xml:space="preserve">by Gerald Horne</w:t>
      </w:r>
    </w:p>
    <w:p w:rsidR="00000000" w:rsidDel="00000000" w:rsidP="00000000" w:rsidRDefault="00000000" w:rsidRPr="00000000">
      <w:pPr>
        <w:contextualSpacing w:val="0"/>
        <w:rPr/>
      </w:pPr>
      <w:r w:rsidDel="00000000" w:rsidR="00000000" w:rsidRPr="00000000">
        <w:rPr>
          <w:rtl w:val="0"/>
        </w:rPr>
        <w:t xml:space="preserve">Pluto, 250 pp., $18.00 (paper)</w:t>
      </w:r>
    </w:p>
    <w:p w:rsidR="00000000" w:rsidDel="00000000" w:rsidP="00000000" w:rsidRDefault="00000000" w:rsidRPr="00000000">
      <w:pPr>
        <w:contextualSpacing w:val="0"/>
        <w:rPr/>
      </w:pPr>
      <w:r w:rsidDel="00000000" w:rsidR="00000000" w:rsidRPr="00000000">
        <w:rPr>
          <w:rtl w:val="0"/>
        </w:rPr>
        <w:t xml:space="preserve">No Way But This: In Search of Paul Robeson</w:t>
      </w:r>
    </w:p>
    <w:p w:rsidR="00000000" w:rsidDel="00000000" w:rsidP="00000000" w:rsidRDefault="00000000" w:rsidRPr="00000000">
      <w:pPr>
        <w:contextualSpacing w:val="0"/>
        <w:rPr/>
      </w:pPr>
      <w:r w:rsidDel="00000000" w:rsidR="00000000" w:rsidRPr="00000000">
        <w:rPr>
          <w:rtl w:val="0"/>
        </w:rPr>
        <w:t xml:space="preserve">by Jeff Sparrow</w:t>
      </w:r>
    </w:p>
    <w:p w:rsidR="00000000" w:rsidDel="00000000" w:rsidP="00000000" w:rsidRDefault="00000000" w:rsidRPr="00000000">
      <w:pPr>
        <w:contextualSpacing w:val="0"/>
        <w:rPr/>
      </w:pPr>
      <w:r w:rsidDel="00000000" w:rsidR="00000000" w:rsidRPr="00000000">
        <w:rPr>
          <w:rtl w:val="0"/>
        </w:rPr>
        <w:t xml:space="preserve">Scribe, 292 pp., $19.95 (paper)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Beinecke Library, Yale University/Van Vechten Trust</w:t>
      </w:r>
    </w:p>
    <w:p w:rsidR="00000000" w:rsidDel="00000000" w:rsidP="00000000" w:rsidRDefault="00000000" w:rsidRPr="00000000">
      <w:pPr>
        <w:contextualSpacing w:val="0"/>
        <w:rPr/>
      </w:pPr>
      <w:r w:rsidDel="00000000" w:rsidR="00000000" w:rsidRPr="00000000">
        <w:rPr>
          <w:rtl w:val="0"/>
        </w:rPr>
        <w:t xml:space="preserve">Paul Robeson as Othello, 1944; photograph by Carl Van Vechten</w:t>
      </w:r>
    </w:p>
    <w:p w:rsidR="00000000" w:rsidDel="00000000" w:rsidP="00000000" w:rsidRDefault="00000000" w:rsidRPr="00000000">
      <w:pPr>
        <w:contextualSpacing w:val="0"/>
        <w:rPr/>
      </w:pPr>
      <w:r w:rsidDel="00000000" w:rsidR="00000000" w:rsidRPr="00000000">
        <w:rPr>
          <w:rtl w:val="0"/>
        </w:rPr>
        <w:t xml:space="preserve">When I was growing up in Britain in the 1950s and 1960s, Paul Robeson was much in evidence, on records, on the radio, on television. His name was haloed with the sort of respect accorded to few performers. The astonishing voice that, like the Mississippi in the most famous number in his repertory, just kept rolling along, seemed to carry within it an inherent sense of truth. There was no artifice; there were no vocal tricks; nothing came between the listener and the song. It commanded effortless attention; perfectly focused, it came from a very deep place, not just in the larynx, but in the experience of what it is to be human. In this, Robeson resembled the English contralto Kathleen Ferrier: both seemed less trained musicians than natural phenomena.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spirituals Robeson had been instrumental in discovering for a wider audience were not simply communal songs of love and life and death but the urgent cries of a captive people yearning for a better, a juster life. These songs, rooted in the past, expressed a present reality in the lives of twentieth-century American black people, citizens of the most powerful nation on earth but oppressed and routinely humiliated on a daily basis. When Robeson sang the refrain of “Go Down Moses”—“Let my people go!”—it had nothing to do with consolation or comfort: it was an urgent demand. And in the Britain in which I grew up, he was deeply admired for it. For us, he was the noble representative, the beau idéal, of his race: physically magnificent, finely spoken, fiercely intelligent, charismatic but not at all threatening.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some point in the 1960s, he faded from our view. Disgusted with America’s failure to address his passionate demands for his people, he had gone to Moscow, endorsing the Soviet regime. Meanwhile, a new generation of black militants, fierce demagogues, had become prominent, and suddenly Robeson seemed very old-fashioned. There were no more television reruns of his most famous movies, Sanders of the River (1935) and The Proud Valley (1940); his music was rarely heard. When news of his death came in 1976, there was surprise that he was still alive. And now, it is hard to find anyone under fifty who has the slightest idea who he is, or what he was, which is astonishing—as a singer, of course, and, especially in Proud Valley, as an actor, his work is of the highest order. But his significance as an emblematic figure is even greater, crucial to an understanding of the American twentieth century.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Robeson was born in the last years of the nineteenth century, to a father who had been a slave and at the time of the Civil War had fled to the North, to the town of Princeton, New Jersey, eventually putting himself through college and becoming a Presbyterian minister. He drummed his own fierce determination and rigorous work ethic into his children, especially Paul, who was a model pupil. Studious, athletic, artistically gifted, he was an all-around sportsman, sang in the school choir, and played Othello at the age of sixteen. At Rutgers University, despite vicious opposition from aggressive white teammates, he became an outstanding football player; he graduated with distinction. He then studied law, first at NYU and then Columbia. On graduation, he was marked out for great things, tipped as a possible future governor of New Jersey, but he gave up the law almost immediately after a stenographer refused to take dictation “from a nigger.” Instead he threw himself into the vibrant artistic life of Harlem at the height of its Renaissance, appearing in plays by Eugene O’Neill, giving concerts of African-American music, and occasionally playing professional football; he was spoken of by Walter Camp as the greatest end ever.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His fame spread with startling speed; within a couple of years, he was lionized on both sides of the Atlantic. From an early age, he was perceived as almost literally iconic. His stupendous physique seemed to demand heroic embodiment, and he was frequently photographed and sculpted, as often as not naked; the frontispiece of the first of many books about him—Paul Robeson: Negro (1930), by his wife, Eslanda (Essie)—shows Jacob Epstein’s famous bust of him. He was the black star everyone had been waiting for, the acceptable face of negritude.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His appearances in England were especially warmly received: he was seen onstage in The Emperor Jones, Show Boat, and, most daringly, as Othello. His singing voice was extensively broadcast by the BBC, and he made films; by 1938 he was one of the most popular film stars in Britain. Swanning around in the most elegant circles, hobnobbing on equal terms with painters, poets, philosophers, and politicians, he felt exhilarated by England’s apparent lack of racial prejudice. He bought himself a splendid house, threw parties at which one simply had to be seen, and engaged in a series of liaisons with English women under his wife’s nose.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had not completely given in to the adoration, though. All the while, he was being quietly radicalized. He consorted with left-wing thinkers and young firebrands, like Kwame Nkrumah and Jomo Kenyatta, bent on overthrowing colonial rule. Touring Europe, drawing crowds of tens of thousands to his concerts, he was stirred by his audiences’ response to his music, and became interested in theirs. He was, he said, a folk singer, not an art singer; folk music, he declared, was universal, the living proof of the community of mankind. He absorbed his audience’s songs into his repertory, whenever possible in the original language; enrolling in the philology department of the School of Oriental and African Languages at London University, he began a study of African languages.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His increasing awareness of left-wing ideology showed in his choice of work—in London he played the leading role in Stevedore, a play that directly addressed racism—but also inexorably led him to Moscow in 1934. Russia grasped him to its collective bosom; audiences went mad for him, Sergei Eisenstein wanted to make a film with him as Jean-Christophe, emperor of Haiti. He was overwhelmed, declaring that for the first time in his life he felt himself to be “not a Negro but a human being”; he placed his young son in a Russian school. Fired by a sense of the coming battle to be fought, he went to Spain, then in the throes of the civil war. He sang for the Republican forces and was received rapturously, as he was wherever he went, except in Hitler’s Germany, through which he passed rapidly and uncomfortably, narrowly avoiding confrontation with Nazi storm troopers. In his speeches, he increasingly framed the struggle for racial equality as a war on fascism. In the run-up to World War II, Robeson became less of an artist, more of a moral force; less an American, more a world figure.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when Hitler invaded Poland and the war in Europe was finally engaged, he returned to America, pledging to support the fight for democratic freedom. He saw American participation in the war as a tremendous opportunity to reshape the whole of American life and, above all, to transform the position of black people within the nation. His fame and influence rose to extraordinary heights, and after America joined the war, his endorsement of its ally the Soviet Union proved very useful.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1943, he reprised his Othello on Broadway, the first time an amorously involved black man and white woman had ever been shown on stage there; to this day the production holds the record for the longest run of any nonmusical Shakespeare play on Broadway, and it toured the land to strictly nonsegregated audiences. The following year, Robeson’s forty-sixth birthday was marked with a grand gala, attended by over 12,000 people; 4,000 had to be turned away. The playwright Marc Connelly spoke, describing Robeson as the representative of “a highly desirable tomorrow which, by some lucky accident, we are privileged to appreciate today.” He was the man of the future; America was going to change.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Or so it seemed for a brief moment. The dream was almost immediately shattered when black GIs returning from the war were subjected to terrifying outbursts of violence from white racists determined to make it clear that nothing had changed. After a murderous attack on four African-Americans in Georgia, an incandescent Robeson, at the head of a march of three thousand delegates, had a meeting with the president, Harry S. Truman, in the course of which he demanded “an American crusade against lynching.” Truman coolly observed that the time was not right. Robeson warned him that the temper of the black population was dangerously eruptive. Truman, taking this as a threat, stood up; the meeting was over. Asked by a journalist outside the White House whether it wouldn’t be finer when confronted with racist brutality to turn the other cheek, Robeson replied, “If a lyncher hit me on one cheek, I’d tear his head off before he hit me on the other one.” The chips were down.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that moment on, the government moved to discredit Robeson at every turn; it blocked his employment prospects, after which he turned to foreign touring, not hesitating to state his views whenever he could. At the Soviet-backed World Peace Council, he spoke against the belligerence of the United States, describing it as fascist; these remarks caused outrage at home, as did his later comments at the Paris Peace Congress, at which he said: “We in America do not forget that it was on the backs of the white workers from Europe and on the backs of millions of blacks that the wealth of America was built. And we are resolved to share it equally. We reject any hysterical raving that urges us to make war on anyone.” These comments provoked denunciations from all sides—not least from the black press and his former comrades-in-arms in the National Association for the Advancement of Colored People, anxious not to undo the steady progress they felt they had been making. Robeson’s universal approbation turned overnight into nearly universal condemnation.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he spoke in public in America, the meetings were often broken up by protesters armed with rocks, stones, and knives, chanting “We’re Hitler’s boys” and “God bless Hitler.” At a meeting in Peekskill, New York, Robeson narrowly escaped with his life. He now found himself subpoenaed to appear before the House Un-American Activities Committee, where, refusing to state whether he was a member of the Communist Party, he turned the tables on the interrogator who questioned why he had not stayed in the Soviet Union. “Because my father was a slave and my people died to build this country,” replied Robeson. “I am going to stay here and have a part of it just like you. And no fascist-minded people will drive me from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Before long, his passport was confiscated (a move, astonishingly, supported by the American Civil Liberties Union). Robeson was now effectively imprisoned in his own country, where he found it virtually impossible to earn a living because of FBI threats to theaters that might have hired him. But he could not be silenced: from time to time he would go into a studio and broadcast talks and concerts that were relayed live to vast crowds across the ocean. Through all of this, he kept up his criticism of the government’s racial policies, but also, despite mounting evidence of the Terror in Russia under Stalin and the brutal suppression of the Hungarian uprising in 1956, stubbornly maintained his unqualified admiration of the Soviet Union and what he insisted was its essentially benevolent character.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James Weldon Johnson Memorial Collection/Beinecke Library, Yale University</w:t>
      </w:r>
    </w:p>
    <w:p w:rsidR="00000000" w:rsidDel="00000000" w:rsidP="00000000" w:rsidRDefault="00000000" w:rsidRPr="00000000">
      <w:pPr>
        <w:contextualSpacing w:val="0"/>
        <w:rPr/>
      </w:pPr>
      <w:r w:rsidDel="00000000" w:rsidR="00000000" w:rsidRPr="00000000">
        <w:rPr>
          <w:rtl w:val="0"/>
        </w:rPr>
        <w:t xml:space="preserve">A photograph of Paul Robeson inscribed to Carl Van Vechten, circa 1930; from Gather Out of Star-Dust: A Harlem Renaissance Album, Melissa Barton’s catalog of a recent exhibition at the Beinecke Library at Yale. It is published by the library and distributed by Yale University Press.</w:t>
      </w:r>
    </w:p>
    <w:p w:rsidR="00000000" w:rsidDel="00000000" w:rsidP="00000000" w:rsidRDefault="00000000" w:rsidRPr="00000000">
      <w:pPr>
        <w:contextualSpacing w:val="0"/>
        <w:rPr/>
      </w:pPr>
      <w:r w:rsidDel="00000000" w:rsidR="00000000" w:rsidRPr="00000000">
        <w:rPr>
          <w:rtl w:val="0"/>
        </w:rPr>
        <w:t xml:space="preserve">His passport was finally restored to him in 1958, and he sped away. He based himself in England, where he sang in St. Paul’s Cathedral and in the Royal Festival Hall; he played Othello for one last season at the Shakespeare Memorial Theatre in Stratford-upon-Avon. He returned to Moscow, where ecstatic crowds filled stadiums to welcome him back. He made his way to Australia and New Zealand. But something was imploding within him. Back in Moscow, en route for the US, where he planned to speak in favor of the fledgling civil rights movement, he was found with slashed wrists on the floor of the bathroom of his hotel room. From there he went to London, where he received heavy sedation and massive doses of electroconvulsive therapy before being transferred to a somewhat less draconian hospital in East Germany. At last, in 1963, he came back to America and lived out the remaining thirteen years of his life as a private citizen with very occasional public interventions; there were manic interludes and depressions, but mostly he was just very quiet. When he died in 1976, most of the obituaries—even in the African-American press—expressed a respectful incomprehension.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an altogether extraordinary life, the stuff of epic. It has not lacked for scholars: most notably the radical historian Martin Duberman’s masterful and all-encompassing five-hundred-page life (1989). Robeson’s son, Paul Jr., offered his personal perceptions of the great man’s first forty years in An Artist’s Journey (2001), the first volume of The Undiscovered Paul Robeson, carrying the story through to its bitter end, five years later, in a second volume, The Quest for Freedom, passionate and contentious. More recently, there has been Jordan Goodman’s politically radical A Watched Man. And now—coincidentally or not—at a time of accelerating racial unrest in America, there are two new books about him, as different from each other as chalk from cheese.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Gerald Horne’s Robeson: The Artist as Revolutionary is baffling. It is written with great sincerity and passion, but its constant reiteration of certain words and phrases—we learn on page after page that Robeson was, indeed, a revolutionary—hardly constitutes an argument, while the simple presentation of a narrative eludes the author completely. Horne seems unable to present a clear picture of Robeson’s personality or the world in which he lived; it is a chronological free-for-all, as we giddily lurch from decade to decade, backtracking or suddenly leaping forward. Often sentences make no sense whatever: “Though Robeson’s tie to Moscow is often derided,” says Horne, “this is one-sided—akin to judging a boxing match while only focusing on one of the fighters—since it elides the point that (by far) African-Americans in their quest for global aid to combat Jim Crow were attracted to Japan.”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author’s analyses of world affairs and his assessments of history’s leading players are, to put it gently, crude; this, for example, is Winston Churchill: “the pudgy, cigar-chomping, alcohol-guzzling Tory.” And he takes certain, shall we say, contentious things as self-evident—notably the essential goodness of the USSR. When Robeson first saw Stalin in Moscow, Horne reports, he was struck by the dictator’s “wonderful sense of kindliness…here was one who was wise and good,” and duly held up his son Pauli to see this paragon of benevolence. Horne has nothing to say about Robeson’s comment, apparently finding no fault with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Elsewhere, Horne makes desperately strained attempts to force every action of Robeson’s into a political mold: of the actor’s heroic assault on the role of Othello in London—a part of immense technical and emotional challenges for any actor, let alone an untrained and relatively inexperienced one—he tells us: “Robeson’s groping as an actor in his attempt to grasp the lineaments of Othello was of a piece with his groping as a black man seeking to grasp the lineaments of capitalism, colonialism, and white supremacy.” No, it wasn’t: it’s just a very hard part. Horne has evidently read a great deal and had access to some remarkable material, but it is often impossible to fathom from the book what is really happening at any one moment or what was going on in Robeson’s mind.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Horne cites any number of searing details, but lacking articulate analysis, his account is numbing and bewildering in equal measure, like being addressed from a dysfunctional megaphone. His rousing conclusion, bringing his obsession with Robeson’s linguistic gifts to a climax, is simply stupefying: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multi-lingual descendant of enslaved Africans, whose dedicated study of languages was designed in part to illustrate the essential unity of humankind, continues to symbolize the still reigning slogan of the current century: “workers of the world, unite!”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I’m sorry to break it to Mr. Horne, but he doesn’t. And it isn’t.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Jeff Sparrow’s No Way But This: In Search of Paul Robeson is the polar opposite of Horne’s book, a work not of assertion but of investigation. It takes nothing at all for granted. The author, an Australian left-wing commentator, is very present in the book: it’s his journey (and thus our journey) as much as it is Robeson’s. He goes to see for himself a world that is, he admits, far from his own experience. The result is arresting, illuminating, and ultimately upsetting.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Sparrow’s starting point is a curiously moving newsreel, readily available on YouTube, showing Robeson in his early sixties visiting workers on the building site of the Sydney Opera House and spontaneously singing for them as they sit utterly rapt; here, he discovered the plight of the Australian aborigines, ardently pledging himself to their cause decades before it became fashionable. It is this sense of Robeson’s universalism that Sparrow seeks to investigate. It takes him back to Robeson’s birth, and then goes back further—into the history of Robeson’s father, the Reverend William, born into slavery, and further still into the history, or rather the experience, of slavery itself.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Sparrow wants to know, was slavery actually like? He goes to North Carolina and talks first to the very nice and decent descendants of slave owners who slowly, uncomfortably, reveal the reality of slavery for their families. One of their young servant girls was savagely whipped for “being slow.” “They might have been cultured and intelligent people,” says Sparrow, “they might have cared for their children and showed kindness to their neighbours, but they’d ordered a young slave girl thrashed to the bone because she dropped a dish.” As it might be in a novel, this small detail of daily and routine brutality, endlessly repeated as part of a way of life only 150 years ago, is somehow more chilling than a description of greater atrocities.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Likewise, Sparrow notes what it was that Robeson’s father, a former slave with no education whatsoever, had to do to get first a BA, then an MA, and finally a degree in theology: it “meant mastering Ancient Greek, Latin, Hebrew, geometry, chemistry, trigonometry, mineralogy, political economy, and the myriad other components of a nineteenth-century classical education.” William Robeson, as a slave, would have had no formal education at all. This fierce—heroic—work ethic the Reverend Robeson passed on to his son. He never spoke about his experience of slavery. But the lesson was clear: the only way out of poverty and humiliation was hard, hard work—working harder than any white man would have to, to achieve a comparable result.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then, as another of Sparrow’s interviewees, a distant relative of Robeson, tells him, when a black man has finally achieved something, a certain circumspection is necessary. As Robeson himself wrote with bitter anger in Here I Stand, his 1958 autobiography: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when demonstrating that he is really an equal…[c]limb up if you can—but don’t act “uppity.” Always show that you are grateful. (Even if what you have gained has been wrested from unwilling powers, be sure to be grateful lest “they” take it all away.)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Sparrow deploys this contrapuntal effect—this dialogue between past and present—brilliantly. He talks to the elegant British black actor Hugh Quarshie, a recent Othello for the Royal Shakespeare Company, about the challenges of the role, and specifically about what it might have felt like for Robeson to play the part, painfully conscious as he must have been that he was “the only black face in the room.” Sometimes, says the Oxford-educated Quarshie, he finds himself talking to some patron of the arts, expatiating on “Mozart and Buñuel, and then suddenly I wonder if what they are actually seeing are thick lips and a bone through my nose.”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Sparrow never lets the reader forget how other, how fundamentally alien, black people have been made to feel in American society, and how recently unspeakable brutality and contempt were the norm. At the turn of the twentieth century, in 1901, for example, when Robeson was three years old, President Theodore Roosevelt had lunch at the White House with Booker T. Washington, the great educator and former slave, eliciting this comment from the South Carolina senator Benjamin Tillman: “The action of President Roosevelt in entertaining that nigger will necessitate our killing a thousand niggers in the South before they learn their place again.” This was the world into which Robeson was born.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Wherever Robeson went, Sparrow goes too: to Harlem to get a sense of its all-too-brief Renaissance; to London to see the four-storied mansion in Hampsted, in which at the crest of Robeson’s first wave of popularity he and his wife lived with five liveried servants; to Spain to see, as Sparrow’s chapter heading has it, “what Fascism was.” Going there in 1937 was a fearless, almost reckless, thing for Robeson and his wife to do, but he had to do it. He had to endorse what he felt was essentially the same fight he was fighting, the fight for human dignity and freedom. The night before a big battle, he addressed the soldiers, and then he sang, sang himself hoarse, as the volunteers shouted out their requests; when he sang “I Feel Like a Motherless Child,” the grizzled commander of the unit, reported the radical journalist Charlotte Haldane, turned beetroot red with the effort of fighting down the tears.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Sparrow shows how this admittedly splendid actor, this marvelous singer, this charismatic speaker, had somehow evolved into something more: he had for many people become the embodiment of the global longing for a better world, a juster dispensation. In the radically polarized pre-war world, this passionate commitment led him, inevitably, to Moscow, where he felt that his visionary ideas had the best chance of becoming reality. Sparrow takes us to the National Hotel, opposite Red Square, where Robeson told Eisenstein, “Here, for the first time in my life, I walk in full human dignity. You cannot imagine what that means to me as a Negro,” and sees with his own eyes why Robeson might have felt that, in the Moscow of 1935, he was in the promised land.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Sparrow interviews a young black Russian TV personality now living in Moscow who has a more complicated story than Robeson’s to tell. Her grandmother, she tells him, was a white woman who had married a black man and come to Russia because they could scarcely hope to live together in America. “It didn’t work out as we hoped,” she said, “but the idea, the idea was right.”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pursues Robeson’s commitment to that elusive idea. Robeson, it is clear, knew that his dream was just that: that the reality was otherwise. But he had to maintain his faith, otherwise what else was there? The pressure on him from all sides, the expectation that he would somehow find a path through all these contradictions, may have led to his attempted suicide in the Sovietsky Hotel in 1961: Sparrow surmises that it may have directly stemmed from the desperate requests from Robeson’s Russian friends to help them get out of the nightmarish world they found themselves in. “I am unworthy, I am unworthy,” Robeson gasped, over and over again, to the maid who discovered him with slashed wrists on the bathroom floor. Sparrow convincingly suggests that his descent into bipolarity and the subsequent attempts to kill himself (“in 1965 there were more half-hearted suicide attempts,” he reports laconically) were part of the anguish of his having failed to square his vision with reality.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an epilogue that must have been painful for Sparrow—a man of the left—to write, he acknowledges that Robeson’s endorsement of Stalin and Stalin’s successors, his refusal to acknowledge what had been done in Stalin’s name, is the tragedy of his life. And it is a tragedy for us, too, because Robeson had an almost unique combination of gifts that enabled him to articulate his cause in a way that spoke to all people. “Every artist, every scientist must decide NOW where he stands,” he had said when he returned from Spain. “He has no alternative. There is no standing above the conflict on Olympian heights.”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Sparrow describes it, it is a pitiful spectacle: this heroic figure, striving for dignity for all of his fellow human beings, robbed of his own, somehow baffled and cheated by the world. Sparrow quotes a trade unionist who having met him said: “[Robeson] stands like a giant, yet makes you feel, without stooping to you, that you too are a giant and hold the power of making history in your hands as well.” To which Sparrow soberly adds: “The disintegration of the movements for which Paul had been such an icon had left behind a profound void from which we were yet to recover. We did not feel ourselves giants; we did not feel capable of making history.” History, he says, has become meaningless. “And a figure such as Paul became almost incomprehensible.” On the contrary. Sparrow has made perfect and haunting sense of him.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1963-2018 NYREV, Inc. All rights res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Female Trouble</w:t>
      </w:r>
    </w:p>
    <w:p w:rsidR="00000000" w:rsidDel="00000000" w:rsidP="00000000" w:rsidRDefault="00000000" w:rsidRPr="00000000">
      <w:pPr>
        <w:contextualSpacing w:val="0"/>
        <w:rPr/>
      </w:pPr>
      <w:r w:rsidDel="00000000" w:rsidR="00000000" w:rsidRPr="00000000">
        <w:rPr>
          <w:rtl w:val="0"/>
        </w:rPr>
        <w:t xml:space="preserve">Annette Gordon-Reed FEBRUARY 8, 2018 ISSUE</w:t>
      </w:r>
    </w:p>
    <w:p w:rsidR="00000000" w:rsidDel="00000000" w:rsidP="00000000" w:rsidRDefault="00000000" w:rsidRPr="00000000">
      <w:pPr>
        <w:contextualSpacing w:val="0"/>
        <w:rPr/>
      </w:pPr>
      <w:r w:rsidDel="00000000" w:rsidR="00000000" w:rsidRPr="00000000">
        <w:rPr>
          <w:rtl w:val="0"/>
        </w:rPr>
        <w:t xml:space="preserve">What Happened</w:t>
      </w:r>
    </w:p>
    <w:p w:rsidR="00000000" w:rsidDel="00000000" w:rsidP="00000000" w:rsidRDefault="00000000" w:rsidRPr="00000000">
      <w:pPr>
        <w:contextualSpacing w:val="0"/>
        <w:rPr/>
      </w:pPr>
      <w:r w:rsidDel="00000000" w:rsidR="00000000" w:rsidRPr="00000000">
        <w:rPr>
          <w:rtl w:val="0"/>
        </w:rPr>
        <w:t xml:space="preserve">by Hillary Rodham Clinton</w:t>
      </w:r>
    </w:p>
    <w:p w:rsidR="00000000" w:rsidDel="00000000" w:rsidP="00000000" w:rsidRDefault="00000000" w:rsidRPr="00000000">
      <w:pPr>
        <w:contextualSpacing w:val="0"/>
        <w:rPr/>
      </w:pPr>
      <w:r w:rsidDel="00000000" w:rsidR="00000000" w:rsidRPr="00000000">
        <w:rPr>
          <w:rtl w:val="0"/>
        </w:rPr>
        <w:t xml:space="preserve">Simon and Schuster, 494 pp., $30.00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Thomas Dworzak/Magnum Photos</w:t>
      </w:r>
    </w:p>
    <w:p w:rsidR="00000000" w:rsidDel="00000000" w:rsidP="00000000" w:rsidRDefault="00000000" w:rsidRPr="00000000">
      <w:pPr>
        <w:contextualSpacing w:val="0"/>
        <w:rPr/>
      </w:pPr>
      <w:r w:rsidDel="00000000" w:rsidR="00000000" w:rsidRPr="00000000">
        <w:rPr>
          <w:rtl w:val="0"/>
        </w:rPr>
        <w:t xml:space="preserve">Hillary Clinton on television during her first presidential debate with Donald Trump, Hofstra University, Hempstead, New York, September 2016</w:t>
      </w:r>
    </w:p>
    <w:p w:rsidR="00000000" w:rsidDel="00000000" w:rsidP="00000000" w:rsidRDefault="00000000" w:rsidRPr="00000000">
      <w:pPr>
        <w:contextualSpacing w:val="0"/>
        <w:rPr/>
      </w:pPr>
      <w:r w:rsidDel="00000000" w:rsidR="00000000" w:rsidRPr="00000000">
        <w:rPr>
          <w:rtl w:val="0"/>
        </w:rPr>
        <w:t xml:space="preserve">The title of Hillary Clinton’s memoir of her unsuccessful campaign for the presidency, What Happened, has no question mark at the end, although many people around the world might reflexively add one. Clinton’s defeat surprised—stunned—many, including, as is clear from her recollections, Clinton herself. The majority of polls of the likely electorate indicated that she was headed for a nearly certain win, although her prolonged struggle for the Democratic nomination against a wild-haired, septuagenarian socialist from Vermont was a blinking sign of danger ahead. A significant number of voters were in no mood to play it safe, and the safe choice was what Clinton far too confidently offered in both the primaries and the general election.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was not only the polls that led observers astray; their instincts did as well. Many, within and outside the country, had trouble imagining that the American people would elect to the most important position in the land, perhaps in the world, a man who had never been elected or appointed to public office, nor sworn an oath of allegiance to the United States as a member of the armed services, nor shown any serious interest in public service. From the time candidates can be said to have openly campaigned for the office, those aspiring to the presidency have touted their possession of these extraconstitutionally mandated qualifications, and all presidents before Donald Trump had at least one of them. They are “extraconstitutional” because none is a requirement for the presidency. Article II, Section 1 of the Constitution lists only three qualifications relevant to modern times: that the president be a “natural born citizen,” at least thirty-five years old, and a resident “within the United States” for fourteen years.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historian Jack Rakove observed that the American presidency “posed the single most perplexing problem of institutional design” that the framers faced. “The task of establishing a national executive on republican principles,” Rakove says, “puzzled” them.1 What kind of executive would be suitable in post-Revolutionary America? What type and amount of power should the Constitution give to a person who, in the absence of a vigilant citizenry, might begin to act like a king? And what if the people came to love the president so much that they did not mind—perhaps even welcomed—deviations from republican principles?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Despite these reservations, it was understood by the framers that the president had to be a powerful figure who could symbolize the nation. Just what that meant has been contested. Rakove’s notion that the substance of the presidency had to be “discovered” and “invented” seems exactly right; and the process of discovery has continued, with varying results, over the years.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While adhering to the Constitution’s minimal qualifications, American voters have always had the ability to choose a president who did not fit the norms as they have evolved. They did that in spectacular fashion when they elected a black man, Barack Obama, to the presidency in 2008. It had long been assumed by most Americans that being white was a requirement for the highest office in the land. It would likely never have occurred to the men who wrote the Constitution that they had to specify that the person at the head of the government of the United States—and the symbol of the nation—was to be white. This would have been a deeply felt cultural understanding, and cultural understandings can have significantly more force and staying power than rules of law.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framers also likely never thought to state explicitly that the president had to be a man. As former British subjects, they knew it was possible for a woman to head the nation as queen, when the king had no male heirs. That did not happen very often, however, and the American Revolution got rid of monarchy and the possibility of queens. Under the new Constitution, presidents would be elected by qualified voters, who would almost invariably be male. For a brief period in the early American republic, New Jersey, in the words of the historian Jan Ellen Lewis, made the “lonely” decision to allow single, propertied women to vote. It was the sole state in which this happened.2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if there was a narrow and short-lived precedent for women voting, there is no evidence of enthusiasm for women holding office, appointive or elective. Indeed, when Secretary of the Treasury Albert Gallatin noticed a shortage of individuals qualified to hold office during the second Jefferson administration, he suggested that the president consider hiring women. President Jefferson, taking his role as the symbol of the nation to heart, replied, “The appointment of a woman to office is an innovation for which the public is not prepared, nor am 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things turned out, cultural understandings about the electoral process in relation to gender were more powerful than understandings about it in relation to race. Much to the chagrin—rage, actually—of many white female abolitionists and women’s rights activists, the Fifteenth Amendment gave newly freed black men the right to vote in 1870. Although cultural understandings that promoted white supremacy interfered with the law for decades (and continue today in the form of voter suppression), black men voted and held office during Reconstruction—Mississippi had two black senators, Louisiana for a short time had a black governor, and “an estimated 2,000 black men served in some kind of elective office during that era.”3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was not until 1916 that the first woman, Jeannette Rankin, was elected to national office. Rankin was elected to Congress from Montana. Women in Wyoming were given the right to vote in 1869. But women of all races had to wait until the twentieth century, with the passage of the Nineteenth Amendment, for the constitutional right to vote. The question of who would go first in the march of national electoral progress—black men or white women—was asked again during the 2008 presidential primary contest between Obama and Clinton. The answer was the same as it had been in the 1860s.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is my story of what happened,” Clinton writes in the book’s first line, acknowledging that her account of the 2016 election will inevitably be subjective. What Happened is her third memoir, and with it she defies the conventional wisdom that would suggest waiting at least a few years after important events to reflect upon them, with an eye toward gaining the perspective that distance is said to bring. Clinton’s choice to write this book now, however, seems fitting because nearly everything about the election of 2016 was unconventional. It brought forth the first woman to mount a serious run for the presidency, a rival candidate strange for the reasons listed above (and many more not listed), and the first inkling that a new form of technology-based espionage had been deployed in an effort to shape the outcome of a US election. Historians can benefit from Clinton’s near-contemporaneous consideration of each of these issues. They will likely find her quick first draft engaging (when she does not lapse into campaign-speak), witty, and useful, even as they take note of her natural self-interest in writing about these matters.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Happened is necessarily about gender. Clinton’s femaleness mattered so much to her candidacy—how she ran, what she could and could not do, the expectations people had of her, and the expectations she had for herself—that the subject suffuses even the chapters in which gender is not explicitly addressed. It could hardly be otherwise, given the history of women and electoral politics. In “On Being a Woman in Politics,” the first chapter of “Sisterhood,” one of the book’s six thematic sections, Clinton vents. “In these pages, I put to paper years’ worth of frustration about the tightrope that I and other women have had to walk in order to participate in American politics.” There was a basic problem of which she was well aware: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short, it’s not customary to have women lead or even to engage in the rough-and-tumble of politics. It’s not normal—not yet. So when it happens, it often doesn’t feel quite right. That may sound vague, but it’s potent. People cast their votes based on feelings like that all the time.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Becoming the president of the United States, Clinton believes, is a particularly difficult goal for a woman to achieve. “Women leaders around the world,” she observes, “tend to rise higher in parliamentary systems, rather than presidential ones like ours.” She may have been influenced by the political scientist Farida Jalalzai, whom the Atlantic Monthly commentator Uri Friedman quoted when he wrote, in a postmortem of Clinton’s campaign, that women “are more likely to serve as prime ministers than as presidents, perhaps because in parliamentary systems women can ‘bypass a potentially biased general public and be chosen by the party.’” Friedman goes on to suggest that “to win a national vote in a presidential system, women must contend more directly, and on a larger scale, with sexism and stereotypes.”4 It should not surprise us that requiring candidates to run as potential symbols of the nation would place women at a disadvantage.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person at the head of the ticket undoubtedly matters in both parliamentary and presidential systems. But the person matters more in a system that encourages voters to fixate on their instinctive responses to a candidate’s personality, rather than on support for a party and its overall policies. This effect is amplified by the media’s tendency to concentrate on personalities over policies, aping the convention that governs Hollywood’s treatment of celebrities: a star’s ineffable qualities are more important than his or her competence as an actor. In such a system, the candidate must be acceptable—likable—across a wide swath of the voting population,5 and capable, in Clinton’s words, of “speaking to large crowds, looking commanding on camera, dominating in debates, galvanizing mass movements, and in America, raising a billion dollars.” It is an enterprise based on seduction.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Women can obviously do these things, but how are they received when they do them effectively? A woman operating in the US’s political system, as Jalalzai suggests, will necessarily encounter age-old understandings about femininity and masculinity that have remained in place to a greater extent than many care to acknowledge, and that remain undisturbed by firsthand experiences with the candidate. On the other hand, Clinton says, in parliamentary systems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prime ministers are chosen by their colleagues—people they’ve worked with day in and day out, who’ve seen firsthand their talents and competence. It’s a system designed to reward women’s skill at building relationships, which requires emotional labor.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One suspects that Clinton is right in suggesting that in another place, in another system, her qualities would have made her the head of her party and, ultimately, prime minister.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though it was not the only reason she did not become president—the media’s excessive focus on her e-mails and James Comey’s bizarre and devastating actions in the week before the election both did their part—it matters greatly to considerations of Clinton’s loss in 2016 that the United States has never elected a woman president, and it is naive to think otherwise. History and culture tell us why no woman has ever occupied this office, and why putting a woman in the country’s ultimate position of power might have been difficult for a good number of men and women voters to do—especially for many whites after the culture-shaking experience of having had a black president. It is not just the presidency. According to statistics compiled by the Inter-Parliamentary Union in 2017, the United States “lags far behind many countries” in women’s overall participation in the national government, ranking 101st out of 193.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US’s lackluster record in electing women to national public office must be acknowledged, not just for what it says about Clinton, but for what it says about the likely experiences and fortunes of women who run for president in the future. Even had Clinton won it would be appropriate to pay attention to her treatment as a female candidate. Talking about the part gender played in her defeat is not to make excuses, as has been charged whenever the harmful double standards applied to her are pointed out. And it is far too easy to say that Clinton was simply the “wrong” woman, a tactic often employed to short-circuit discussions about gender and the election.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no reason to doubt that any woman who had been the first to run for president with the backing of a major party would have encountered some of the gender-based scrutiny Clinton faced, and that female candidates in the immediate future will shoulder some of it as well. The journalist Ezra Klein has observed that Elizabeth Warren, a politician very different from Clinton in style, temperament, and political orientation, has begun to receive the same kind of gender-based treatment that Clinton faced. “We routinely underestimate,” he wrote this past fall,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it means that our political system has been constructed and interpreted by men, that our expectations for politicians have been set by generations of male politicians and shaped by generations of male pundits.6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Another journalist, Jill Filipovic, even more adamantly linked the recent allegations of sexual misconduct by various media figures to the presidential campaign: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Many of the male journalists who stand accused of sexual harassment were on the forefront of covering the presidential race between Hillary Clinton and Donald Trump. Matt Lauer interviewed Mrs. Clinton and Mr. Trump in an official “commander-in-chief forum” for NBC. He notoriously peppered and interrupted Mrs. Clinton with cold, aggressive, condescending questions hyper-focused on her emails, only to pitch softballs at Mr. Trump and treat him with gentle collegiality a half-hour later. Mark Halperin and Charlie Rose set much of the televised political discourse on the race, interviewing other pundits, opining themselves and obsessing over the electoral play-by-play. Mr. Rose, after the election, took a tone similar to Mr. Lauer’s with Mrs. Clinton—talking down to her, interrupting her, portraying her as untrustworthy. Mr. Halperin was a harsh critic of Mrs. Clinton, painting her as ruthless and corrupt, while going surprisingly easy on Mr. Trump. The reporter Glenn Thrush, currently on leave from The New York Times because of sexual harassment allegations, covered Mrs. Clinton’s 2008 campaign when he was at Newsday and continued to write about her over the next eight years for Politico.7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revelations, which also reignited stories of sexual misconduct by Bill Clinton and by the current president, have made it clear that gender-based negative attitudes and actions do not just affect the individual women at whom they are aimed; they impede the progress of women overall. The misogyny of major participants who helped shape the 2016 election must be a part of any serious historical analysis of what happened in the campaign.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Other factors—her name, her personal history, and her campaign strategy—also worked against Clinton. Voters had every right to chafe at the notion that in a nation so large and blessed with talent as the United States, two of the people who emerged as likely standard-bearers for each party were named Bush and Clinton. Jeb Bush, scion of the Bush dynasty, was quickly dispatched and Hillary Clinton was left to bear the brunt of the public’s hostility toward establishment candidates. She had served four years in the Obama administration in the high-profile position of secretary of state and been subjected to harsh criticism for foreign policy blunders, both real and imagined. Many disaffected Democrats felt that she was too close to Wall Street because she took corporate money and gave speeches before financial institutions, some of whose members now run the financial system of the United States. In the eyes of a crucial number of voters, Clinton symbolized a hated neoliberal status quo.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status quo for many Americans—leaving aside those who the journalist Ta-Nehisi Coates persuasively argues wanted to vote for a white man to uphold white supremacy8—was one of economic stagnation, generalized anxiety about the future, and anguish over the loss of young people to opioid addiction in depressed areas of the nation. Bernie Sanders, whom Clinton describes as “outraged about everything,” and Donald Trump, who knew how to develop themes on social media better than all of his competitors, appealed to people who believed that the country’s future depended on sharply altering the course of history.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then there was Clinton’s image of herself as the meticulous, responsible choice. “Sweating the Details,” the title of one chapter, is important in politics, but an inspirational and easily digestible story is more effective in a campaign than seeking to impress with facts and details, as much as we might wish otherwise. As Mario Cuomo famously said, politicians “campaign in poetry” but “govern in prose.” Only if their poetry is good enough will they be allowed to govern.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Perhaps the most revealing passage in What Happened is Clinton’s statement that she has “always identified with the older brother” in the parable of the Prodigal Son, an admission that highlights both her Methodism, something she played down during most of her political career, and her sense of who she is and how she has been seen: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 grating it must have been to see his wayward sibling welcomed back as if nothing had happened. It must have felt as if all his years of hard work and dutiful care meant nothing at 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Indeed. How grating it must have been after all of her hard work for the Democratic Party, including prodigious fund-raising, to be challenged by Sanders, who after decades in politics joined the party only during the primaries. How grating it must have been, after her dutiful care and attention to policy questions, to lose the presidency to Trump, who disdained discussing policy at any level other than the most general. Dutifulness faltered in the face of passion: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my more introspective moments, I do recognize that my campaign in 2016 lacked the sense of urgency and passion that I remember from ’92. Back then, we were on a mission to revitalize the Democratic Party and bring our country back from twelve years of trickle-down economics that exploded the deficit, hurt the middle class, and increased poverty. In 2016, we were seeking to build on eight years of progress. For a change-hungry electorate, it was a harder sell. More hopeful voters bought it; more pessimistic voters didn’t.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Finally, there is the schizophrenic response to Clinton. Regularly hailed as one of the most admired women in the world, she has also been the object of an intense, unremitting hatred that, for some, appears to know no boundaries. She is said to have murdered someone—her husband’s deputy White House counsel, Vincent Foster—and ordered the executions of others. She has been pronounced “the Antichrist.” Clinton addresses both of these ways in which she has been viewed, and is clearly more perplexed by the hatred than the admiration. What person other than one in the grip of crippling self-doubt—which Clinton is definitely not—thinks herself or himself worthy of deep hatred?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One could have been implacably opposed to everything Clinton stands for and have worked overtime to ensure her defeat in this past election and in 2008 without actually hating her. Something more is clearly going on here, and it is not all about her shortcomings as a politician and a person. Can hating Hillary Clinton as a politician be separated from hating Hillary Clinton as a woman? More specifically, in how many minds were those thoughts separated during the 2016 election?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no question that a segment of the population, male and female, hates and disrespects women and finds it hard to take them seriously when they move outside of traditional roles. This is doubly true of women past a certain age, who are supposed to become invisible. And here was this woman, well past the age of visibility, insisting on being seen and heard! Journalists spoke of hating to hear the sound of her voice. Clinton notes this reaction to her use of the most primary means by which politicians communicate—speaking: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Historically, women haven’t been the ones writing the laws or leading the armies and navies. We’re not the ones up there behind the podium rallying crowds, uniting the country. It’s men who lead. It’s men who speak. It’s men who represent us to the world and even to ourselves.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That’s been the case for so long that it has infiltrated our deepest thoughts. I suspect that for many of us—more than we might think—it feels somehow off to picture a woman President sitting in the Oval Office or the Situation Room. It’s discordant to tune into a political rally and hear a woman’s voice booming (“screaming,” “screeching”) forth. Even the simple act of a woman standing up and speaking to a crowd is relatively new. Think about it: we know of only a handful of speeches by women before the latter half of the twentieth century, and those tend to be by women in extreme and desperate situations. Joan of Arc said a lot of interesting things before they burned her at the stake.9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One suspects that this kneejerk and, in most cases, unconscious animosity added an extra measure of feeling to whatever legitimate policy disputes many observers had with Clinton—hate topped off principled opposition. And this hate seemed to spread over the course of the campaign to voters and commentators who would not, perhaps, have come to hate Clinton on their own. Because human beings are social creatures, expressions of contempt are hard to contain in just one individual. People who do not feel it may try to understand why others have had such an extreme and personally debilitating response. Eventually, they may come to assume that the object of hatred must deserve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Clinton ends her memoir at the place where her public life began: Wellesley College, where she famously gave an address at her commencement in 1969. Listening to the 2017 Wellesley student speaker, Tala Nashawati, Clinton is captivated by the young woman’s comparison of herself and her classmates to “flawed emeralds” that are often “better than flawless ones” because their “flaws show authenticity and character.” Authenticity and character are two attributes that Clinton’s most ardent detractors insist she does not possess, defining her solely in terms of her flaws. Her joy at Nashawati’s reclamation of the word “flaw” is touching and instructive. After all this time, Clinton feels the need to make the case that she is, after all, a human being.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Jack N. Rakove, “The Political Presidency: Discovery and Invention,” in The Revolution of 1800: Democracy, Race, and the New Republic, edited by James J. Horn, Jan Ellen Lewis, and Peter S. Onuf (University Press of Virginia, 2002).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Jan Ellen Lewis, “Rethinking Women’s Suffrage in New Jersey, 1776–1807,” Rutgers University Law Review, Vol. 63, No. 3 (Spring 2011), pp. 1017, 1018.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Eric Foner, “Rooted in Reconstruction,” The Nation, November 3, 2008.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Uri Friedman, “Why It’s So Hard for a Woman to Become President of the United States,” The Atlantic, November 12, 2016.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Clinton won the popular vote by nearly three million; it was our creaky eighteenth-century constitutional structure that tripped her up. But the stubborn chosen narrative, set in stone back in the 1990s, was that, unlike her husband, Hillary Clinton was not that most prized thing in American politics: likable.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6</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Ezra Klein, “Political Journalism Has Been Profoundly Shaped by Men Like Leon Wieseltier and Mark Halperin and It Matters,” Vox, October 27, 2017.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7</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Jill Filipovic, “The Men Who Cost Clinton the Election,” The New York Times, December 1, 2017. Glenn Thrush has since been reinstated at the Times, but not on the White House beat.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8</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Ta-Nehisi Coates, “The First White President,” The Atlantic, October 2017.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9</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During her UK book tour, Clinton discussed the campaign in a public conversation with the historian Mary Beard, whose most recent book, Women and Power: A Manifesto (Liveright, 2017), discusses, among other things, the millennia-old hostility toward women speaking in public. See “Hillary Clinton Meets Mary Beard: ‘I Would Love to Have Told Trump: “Back Off, You Creep,”’” The Guardian, December 2, 2017.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1963-</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