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December 3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Pity of It All</w:t>
      </w:r>
    </w:p>
    <w:p w:rsidR="00000000" w:rsidDel="00000000" w:rsidP="00000000" w:rsidRDefault="00000000" w:rsidRPr="00000000">
      <w:pPr>
        <w:contextualSpacing w:val="0"/>
        <w:rPr/>
      </w:pPr>
      <w:r w:rsidDel="00000000" w:rsidR="00000000" w:rsidRPr="00000000">
        <w:rPr>
          <w:rtl w:val="0"/>
        </w:rPr>
        <w:t xml:space="preserve">Frances FitzGerald NOVEMBER 23, 2017 ISSUE</w:t>
      </w:r>
    </w:p>
    <w:p w:rsidR="00000000" w:rsidDel="00000000" w:rsidP="00000000" w:rsidRDefault="00000000" w:rsidRPr="00000000">
      <w:pPr>
        <w:contextualSpacing w:val="0"/>
        <w:rPr/>
      </w:pPr>
      <w:r w:rsidDel="00000000" w:rsidR="00000000" w:rsidRPr="00000000">
        <w:rPr>
          <w:rtl w:val="0"/>
        </w:rPr>
        <w:t xml:space="preserve">The Vietnam War</w:t>
      </w:r>
    </w:p>
    <w:p w:rsidR="00000000" w:rsidDel="00000000" w:rsidP="00000000" w:rsidRDefault="00000000" w:rsidRPr="00000000">
      <w:pPr>
        <w:contextualSpacing w:val="0"/>
        <w:rPr/>
      </w:pPr>
      <w:r w:rsidDel="00000000" w:rsidR="00000000" w:rsidRPr="00000000">
        <w:rPr>
          <w:rtl w:val="0"/>
        </w:rPr>
        <w:t xml:space="preserve">a documentary directed by Ken Burns and Lynn Novick</w:t>
      </w:r>
    </w:p>
    <w:p w:rsidR="00000000" w:rsidDel="00000000" w:rsidP="00000000" w:rsidRDefault="00000000" w:rsidRPr="00000000">
      <w:pPr>
        <w:contextualSpacing w:val="0"/>
        <w:rPr/>
      </w:pPr>
      <w:r w:rsidDel="00000000" w:rsidR="00000000" w:rsidRPr="00000000">
        <w:rPr>
          <w:rtl w:val="0"/>
        </w:rPr>
        <w:t xml:space="preserve">The Vietnam War: An Intimate History</w:t>
      </w:r>
    </w:p>
    <w:p w:rsidR="00000000" w:rsidDel="00000000" w:rsidP="00000000" w:rsidRDefault="00000000" w:rsidRPr="00000000">
      <w:pPr>
        <w:contextualSpacing w:val="0"/>
        <w:rPr/>
      </w:pPr>
      <w:r w:rsidDel="00000000" w:rsidR="00000000" w:rsidRPr="00000000">
        <w:rPr>
          <w:rtl w:val="0"/>
        </w:rPr>
        <w:t xml:space="preserve">by Geoffrey C. Ward, with an introduction by Ken Burns and Lynn Novick</w:t>
      </w:r>
    </w:p>
    <w:p w:rsidR="00000000" w:rsidDel="00000000" w:rsidP="00000000" w:rsidRDefault="00000000" w:rsidRPr="00000000">
      <w:pPr>
        <w:contextualSpacing w:val="0"/>
        <w:rPr/>
      </w:pPr>
      <w:r w:rsidDel="00000000" w:rsidR="00000000" w:rsidRPr="00000000">
        <w:rPr>
          <w:rtl w:val="0"/>
        </w:rPr>
        <w:t xml:space="preserve">Knopf, 612 pp., $60.00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Larry Burrows/Larry Burrows Collection</w:t>
      </w:r>
    </w:p>
    <w:p w:rsidR="00000000" w:rsidDel="00000000" w:rsidP="00000000" w:rsidRDefault="00000000" w:rsidRPr="00000000">
      <w:pPr>
        <w:contextualSpacing w:val="0"/>
        <w:rPr/>
      </w:pPr>
      <w:r w:rsidDel="00000000" w:rsidR="00000000" w:rsidRPr="00000000">
        <w:rPr>
          <w:rtl w:val="0"/>
        </w:rPr>
        <w:t xml:space="preserve">US Marines with an injured comrade at a first-aid station, Mutter’s Ridge, Nui Cay Tri, South Vietnam, October 1966</w:t>
      </w:r>
    </w:p>
    <w:p w:rsidR="00000000" w:rsidDel="00000000" w:rsidP="00000000" w:rsidRDefault="00000000" w:rsidRPr="00000000">
      <w:pPr>
        <w:contextualSpacing w:val="0"/>
        <w:rPr/>
      </w:pPr>
      <w:r w:rsidDel="00000000" w:rsidR="00000000" w:rsidRPr="00000000">
        <w:rPr>
          <w:rtl w:val="0"/>
        </w:rPr>
        <w:t xml:space="preserve">Ken Burns achieved renown with lengthy film histories of the Civil War, World War II, jazz, and baseball, but he describes his documentary The Vietnam War, made in close collaboration with his codirector and coproducer Lynn Novick, as “the most ambitious project we’ve ever undertaken.” Ten years in the making, it tells the story of the war in ten parts and over eighteen hours. Burns and Novick have made a film that conveys the realities of the war with extraordinary footage of battles in Vietnam and antiwar demonstrations in the United States.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narration, written by the historian Geoffrey C. Ward (who also wrote the companion book to the film) and read by Peter Coyote, is lean and pointed, and instead of people like John McCain and John Kerry, who have often discussed the war, the eighty talking heads are largely unknowns: former soldiers, officials, journalists, deserters, and peace activists. The time elapsed since the war has allowed the filmmakers to include secret White House tapes and testimony from former members of the National Liberation Front (NLF, also known as the Vietcong) and North Vietnamese soldiers and officers. The soundtrack, which greatly enhances the film, includes classic songs of the period, from “The Sound of Silence” to “Let It Be.”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those under forty, for whom the Vietnam War seems as distant as World War I or II, the film will serve as an education; for those who lived through it, the film will serve as a reminder of its horrors and of the official lies that drove it forward. In many ways it is hard to watch, and its battle scenes will revive the worst nightmares of those who witnessed them firsthand.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Asked why he and Novick took on this project, Burns said that more than forty years after the war ended, we can’t forget it, and we are still arguing about it. We are all, Novick added, “searching for some meaning in this terrible tragedy.” Their aim, the filmmakers said, was to explore whether the war was a terrible mistake that could have been avoided. They might have added that some consider it no mistake but the result of a deliberate policy. Nonetheless, she and Burns do provide answers to some questions Americans may still be asking about the war.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They begin by running the combat footage backward, the shells flying up into helicopters instead of exploding on the ground, as though the US could take it all back. They then show Ho Chi Minh with American OSS men during World War II, and quoting from the Declaration of Independence in his triumphal speech when he entered Hanoi in 1945. They show snippets of the First Indochina War (1946–1954), later making it clear that the Americans used many of the same ineffective tactics as the French. They tell us how many millions of dollars the US spent supporting the French. What they don’t tell us is that the US virtually forced the French to continue the war until their defeat at Dien Bien Phu in 1954 and that the US did not sign the 1954 Geneva Accords that split the country in two. Throughout the documentary, Burns and Novick often neglect diplomacy and geopolitics in favor of personal stories from those who lived through the war, but at least they do show that it began as an anticolonial struggle.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From the very start, they strongly suggest that the US could not have won the war. To prove this point, which is still disputed, mostly by military men, they cite the private statements of John F. Kennedy, Lyndon Johnson, and many of their top advisers, who said that the measures they were taking were inadequate. It was feared that the recommendations of the Joint Chiefs of Staff for more troops and more bombing would not convince the enemy to give up its goal of reunifying Vietnam—and might in fact lead to a larger war with China. The presidents and their advisers nonetheless persisted, unwilling to give up what Kennedy called a “piece of territory” to the Communists.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Burns and Novick say the US was initially “trapped in the logic of the cold war.” As Kennedy’s phrase suggests, the war was never really about South Vietnam. Rather, Washington viewed it as a piece on a chessboard, or a domino whose fall to communism might have caused the rest of Southeast Asia to fall. Before the commitment of American combat troops in 1965, Burns and Novick make clear, there were several occasions when the US could have withdrawn without much public opposition. One was after the assassination of South Vietnamese President Ngo Dinh Diem in 1963, since his successor, General Duong Van Minh, favored a French proposal for a negotiated settlement and a neutral Vietnam. Another came after Johnson’s victory in the 1964 election, when the military junta that had taken power in Saigon earlier that year fell apart, leaving a vacuum of authority. “This is the year of minimum political risk for the Johnson administration,” Vice President Hubert Humphrey said. In other words, the war could have ended in 1965, if not before.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Burns and Novick suggest that the strategy the Americans adopted was primarily responsible for the enormous casualties on both sides. When General William Westmoreland took command of the first regular American troops in 1965, he knew that the NLF controlled three quarters of the South Vietnamese countryside. Although he never told the press, he had no hope for “pacification” unless his troops could kill more North Vietnamese soldiers than could be replaced, a threshold he called “the crossover point.”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Since US troops could rarely find the enemy, much less “take and hold” the vast jungles of the highlands, his strategy was to deploy small American units to serve as “bait” for North Vietnamese attacks and then kill the enemy with artillery and air strikes. The “body count”—or the “kill ratio”—became the standard measure for whether progress was being made. As a result, commanders on the ground often inflated the number of enemy soldiers killed to please their superiors, who in turn inflated the figures even more. Meanwhile many American combat troops were killed and wounded.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“body count” did worse than mislead. It changed the nature of the war, as many American soldiers killed indiscriminately. The filmmakers show a helicopter gunner shooting a man in black pajamas running away in his rice field. They show the famous footage of Morley Safer watching as soldiers torched a village, and footage of soldiers blowing a hole in a hut where grain was stored and killing the people hiding there. Commanders designated enemy-held territories as “free fire zones” and shelled them every night, even though many civilians lived in those areas. We also see troops calling Vietnamese “gooks” or “slopes.”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voiceover rarely editorializes, but the film suggests how the standard of the “body count” helps explain how the My Lai massacre—when American troops killed hundreds of unarmed Vietnamese civilians in March 1968—could have occurred. In late 1968, General Julian Ewell sent troops and aircraft into the densely populated Mekong Delta, killing 10,899 people in six months and seizing only 748 weapons. (The army inspector general later estimated that roughly half of those killed were in fact unarmed civilians.) Ewell was made a three-star general and given command of the largest army field force in Vietnam.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the heart of the documentary are lengthy interviews with a number of American veterans, taking them through their war, often with archival footage of the battles they fought. A large number of these men came from small towns; many had fathers or uncles who had served in World War II and some had gone to West Point. As teenagers, they had always aspired to military service, and they couldn’t imagine not signing up to protect their country. Generally they knew nothing about Vietnam, but they wanted to show that they were warriors, as their dads had been. They went through basic training and were transported by air to Vietnam, where they were sent into battle in a land totally unfamiliar to them. We see some of them slogging through elephant grass and triple canopy jungles, always fearing a booby trap or an enemy ambush.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All of the men interviewed were brave and decent soldiers. One gave up a Rhodes scholarship to go into active duty out of loyalty to his friends. Several tell of their fears and anger. Many were wounded. Eventually some changed their minds about the war. (“What are we doing here?” “Are we fighting on the wrong side?”) One of them began to sympathize with the antiwar protesters and joined the peace movement after he left military service.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segments of the film are the most affecting and yet these soldiers aren’t entirely representative. Not all American troops were as honorable as they were—or as articulate. Furthermore, as the filmmakers note, eight of ten Americans sent to Vietnam never saw combat. The majority were what the combat troops called REMFs, or Rear Echelon Mother Fuckers—public relations officers, construction men, and the like—who had good food, access to swimming pools, the run of the well-stocked post exchanges, and the liberty to go to Saigon to drink and pick up girls.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is truly admirable about the film is the effort to show the many Vietnamese sides of the war. Burns and Novick interviewed Saigon government officials as well as dozens of NLF and North Vietnamese survivors: ordinary soldiers, officers, political cadres, and civilians. Many tell of the incessant bombing and the destruction of their villages. Some are reluctant to share details about their personal lives and emotions, but some tell moving stories. The novelist Bao Ninh, a former North Vietnamese soldier, recounts the joy of coming home despite being unable to celebrate with his family because he was the only one in his neighborhood to return. One woman from Hue tells the camera, with no expression, that she shot an American in the head in order to protect herself. A soldier remarks that the Americans are much like the Vietnamese since they looked after one another and didn’t leave the dead behind. Another asks if there might not have been a way to achieve independence without all of the killing.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Burns and Novick depict the bombing of the Ho Chi Minh Trail from both sides. American footage shows B-52s coming in over the mountains and blasting huge craters in the many routes the enemy carved out of the jungle. North Vietnamese footage, which shows trucks struggling along the muddy trails, reveals that hundreds of the truck drivers were women who had driven their part of the trail so often they could do it at night without headlights.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filmmakers also show both sides of the 1968 Tet Offensive. American TV crews documented the fighting in Saigon and Hue. From the North Vietnamese side come films of ecstatic soldiers learning they would attack South Vietnamese cities and towns simultaneously and provoke a general uprising in the South. The footage shows as well the careful planning by the NLF, which brought its cadres and munitions into the towns disguised as farmers carrying produce on sampans, flower carts, and false-bottomed trucks. (One thing the filmmakers missed were the many NLF soldiers carrying their coffins with them to be sure of a proper burial.)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filmmakers include the famous photographs of the war, such as that of a naked young girl running down the road with other children, but they also explain the photos’ immediate setting. When the girl, Kim Phuc, turned around, the photographer took another picture showing that most of her back had been burned black by napalm. The photographer, the AP’s Nick Ut, who grew up in Vietnam, didn’t leave her but brought her to a hospital. When Nguyen Ngoc Loan, the Saigon police chief, is shown by Eddie Adams, also of the AP, shooting an NLF suspect in the head during Tet—an incident that increased antiwar sentiment in the US—the filmmakers explain that Loan had asked his subordinates to do the job, but all refused, and he did it himself.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Not much is said—or perhaps known—about the relationship between the North Vietnamese and the NLF. However, the filmmakers do tell us one important thing that journalists did not know at the time. The North Vietnamese leader Le Duan and his allies were entirely responsible for the decision to launch the Tet Offensive, and those who disagreed with him were silenced. General Vo Nguyen Giap, the Communist strategist during the French war, was alleged to be in poor health and sent to Hungary; Ho Chi Minh was sent to China for medical treatment, while others were jailed. Officially Tet was called a great victory in Hanoi, but privately Giap and many of the officers who commanded troops in the field thought it a defeat and a costly lesson: there was no general uprising in the South, and of the 84,000 troops committed to the offensive approximately half were killed, wounded, or captured. The NLF lost control of many provinces; several high-ranking North Vietnamese officers surrendered, and no North Vietnamese units returned intact.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Tet, however, was a psychological and propaganda victory for the NLF and the North. As is well known, it led Walter Cronkite to declare the war a stalemate, and many Americans concluded that it could not be won. President Johnson recalled Westmoreland, and in March he declared he would not run again for president. He announced a partial halt to the bombing and the beginning of peace talks in Paris.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November 1968, Vietnam became Nixon’s war, and the filmmakers to their credit make by far the most complicated phase of the fighting fairly easy to understand. During the campaign Nixon had promised a quick end to the war, but in secret he had sent an emissary to South Vietnamese President Nguyen Van Thieu to tell him not to join the peace talks because he would treat the Saigon regime better than his Democratic opponent, Hubert Humphrey. He then denied the existence of this secret channel to Saigon after Johnson confronted him about it days before the election.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From then on, Nixon betrayed one side and then another. He sent American troops into Cambodia to cut supply routes to the South, and when the invasion prompted a nationwide student strike in the US, he began withdrawing American troops from the South, as though to fulfill his promise to end the war. He then started a program of “Vietnamization” (pressing the South Vietnamese to take on more of a combat role) though most officials believed the Army of the Republic of Vietnam (ARVN) could never hold South Vietnam on its own. Their belief was confirmed in February 1971, when the American command sent 17,000 ARVN troops into Laos to cut the Ho Chi Minh Trail. Even aided by the American bombing, half of the ARVN soldiers were killed, wounded, or captured, and the rest straggled out of Laos as best they could.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Henry Kissinger, in one of the recordings that Nixon secretly made in the Oval Office, many of which are included in the documentary, commented that the ARVN weren’t as good as he and Nixon had thought. “But Henry,” Nixon replied, “I have become completely fatalistic about the goddamn thing. I don’t think they’re [the ARVN] up to a real bang…. I’d rather have them get out [of Laos], and then we’re going to get the hell out and hope and pray that nothing happens before 1972. Let’s face it. And if my reelection is important, let’s remember, I’ve got to get this off our plate.” At one point Nixon says, “I don’t want to be the first president to lose a war.”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filmmakers pay little attention to the Paris Peace Talks, possibly because there is nothing visual about them. In October 1972, when Kissinger proclaimed that peace was “at hand,” the two sides had agreed on three main points: that the North Vietnamese in the South could stay there, that the Americans would not replace Thieu, and that the North Vietnamese would hand over the American POWs in exchange for the withdrawal of all American troops. Less crucial points were also agreed to, and by late November the two sides had completed a draft of the agreement.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filmmakers do reveal one significant event related to the talks. When Nixon assured Thieu that he stood ready to intervene with air power, Thieu presented sixty-nine objections to the North Vietnamese position, making Kissinger’s North Vietnamese counterpart, Le Duc Tho, very angry. On December 13, Tho returned to Hanoi for “consultations.” The problem, we now find out, was that he had failed to inform the Southern revolutionaries that he had dropped two of his demands: the replacement of Thieu by a coalition government and the return of North Vietnamese POWs. The NLF—by then known as the Provisional Revolutionary Government (PRG)—was reluctant to accept the last point, because it implied that its POWs were less important than those of the Americans. Tho had had to go back to Hanoi to conciliate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Nixon, however, thought that Hanoi had completely withdrawn from the talks. He recalled Kissinger from Paris and over the Christmas season unleashed the most intensive bombing of the North the US had ever undertaken. Its pilots dropped 36,000 tons of bombs, flattening whole neighborhoods in Hanoi, Haiphong, and other towns, inciting huge demonstrations in the United States.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Larry Burrows/Larry Burrows Collection</w:t>
      </w:r>
    </w:p>
    <w:p w:rsidR="00000000" w:rsidDel="00000000" w:rsidP="00000000" w:rsidRDefault="00000000" w:rsidRPr="00000000">
      <w:pPr>
        <w:contextualSpacing w:val="0"/>
        <w:rPr/>
      </w:pPr>
      <w:r w:rsidDel="00000000" w:rsidR="00000000" w:rsidRPr="00000000">
        <w:rPr>
          <w:rtl w:val="0"/>
        </w:rPr>
        <w:t xml:space="preserve">General Tran Van Don, commander of the South Vietnamese Army, at a celebration of the coup that deposed President Ngo Dinh Diem, Saigon, November 1963</w:t>
      </w:r>
    </w:p>
    <w:p w:rsidR="00000000" w:rsidDel="00000000" w:rsidP="00000000" w:rsidRDefault="00000000" w:rsidRPr="00000000">
      <w:pPr>
        <w:contextualSpacing w:val="0"/>
        <w:rPr/>
      </w:pPr>
      <w:r w:rsidDel="00000000" w:rsidR="00000000" w:rsidRPr="00000000">
        <w:rPr>
          <w:rtl w:val="0"/>
        </w:rPr>
        <w:t xml:space="preserve">The filmmakers pay considerable attention to the antiwar movement. In the film, Bill Zimmerman, a relatively unknown moderate antiwar activist, explains the rationale behind the student strikes and demonstrations but deplores the violence of fringe factions such as the Weathermen. The footage of the demonstrations, the fracas outside the 1968 Democratic Convention in Chicago, and the veterans throwing their medals over the White House fence is well known but nonetheless effective in conveying the domestic turmoil that arose during the war.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One element of the war that has been described in books but not recently shown on film is the demoralization of American troops. By the early 1970s most soldiers were draftees, and their officers new and inexperienced. The draftees did not want to die in a war that could not be won, and they grew infuriated when their officers sent them out into the boonies for nothing. On the bases half of the troops smoked marijuana; others took heroin. Many wore peace symbols on their helmets and some refused to fire their guns. As one soldier described it on camera, instead of going out on patrols, some units moved just out of sight of the bases and sat down until the day was over. African-Americans were treated worse than white troopers. Some refused orders and, when driven too far, tossed grenades into their officers’ quarters. Privately Westmoreland’s successor, General Creighton Abrams, said, “I need to get this army home in order to save it.” (He was right. According to General Colin Powell, who later retrained army battalions in Korea, it took ten years for the army to get back in fighting shape.)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After Nixon’s opening to China in February 1972, Vietnam receded in importance for the US, and Kissinger privately told Nixon that a year or two after the American withdrawal, “Vietnam will be a backwater…no one will give a damn.” Under pressure from the Chinese and the Soviets, Le Duc Tho and Kissinger returned to the negotiating table following the Christmas bombing and drafted a pact that differed only in minor details from the November agreement. All sides accepted it except for Thieu, to whom Nixon sent private letters threatening to cut off military aid and promising that the US would react “vigorously” to any violation of the cease-fire.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Thieu finally accepted the agreement, though it allowed North Vietnamese troops to remain in the South, and it was signed in January 1973. The American POWs came home, as did the remaining American troops, but there was no cease-fire. The NLF and the South Vietnamese army fought for territory; Nixon continued bombing Cambodia and secretly delivering military aid to Saigon. It was only the Watergate scandal that stopped him. In June 1974 Congress voted to reduce military and economic aid to Saigon. In August Nixon resigned rather than be impeached. Not long afterward, Le Duan reinstated Giap to plan a final offensive, and, after a test attack to see if the Americans would respond—they did not—North Vietnamese troops marched south, scattering the ARVN and creating panic. On April 30, 1975, they entered Saigon without resistance.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filmmakers chronicle all of this and the horrific aftermath of reeducation camps and economic disaster that resulted from the collectivization of southern agriculture by the Communist victors. What they do not do is suggest an alternative to the North Vietnamese occupation of the South, though several of their interviewees might have provided one. To the Americans, accepting a coalition government in 1972 when they had the chance would have been commensurate with defeat. But if they had accepted one, the Southerners might have worked out a political solution. The PRG would likely have dominated a coalition government, and South Vietnam might have been peacefully reunified with the North. Such a solution would have allowed time for those who wanted to get out of Vietnam to do so. As it was, the war went on for five more years, and more Indochinese died in that period from bombing and artillery than in the previous five. The North Vietnamese had to integrate a million ARVN soldiers, and the top American officials had to make a humiliating escape from the roof of the embassy.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Burns and Novick go on to describe the normalization of relations between the US and Vietnam, but they stress the reconciliation between individuals: American soldiers who went back to Vietnam to aid villagers and to meet—and embrace—their former enemies; the Vietnamese who fled to the United States and returned home to start businesses; the American relatives of those who died in Vietnam, many of whom passionately disagreed for many years, finding some kind of peace in Maya Lin’s memorial to the dead in Washington. “The Vietnam War,” reports the narrator, “was a tragedy, immeasurable and irredeemable. But meaning can be found in the individual stories of those who lived through it, stories of courage and comradeship and perseverance, of understanding and forgiveness and, ultimately, reconciliation.”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stories may well bring tears, but one would hope that they are not the only meaning to be drawn from the Vietnam War.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MVP of the Second Circuit</w:t>
      </w:r>
    </w:p>
    <w:p w:rsidR="00000000" w:rsidDel="00000000" w:rsidP="00000000" w:rsidRDefault="00000000" w:rsidRPr="00000000">
      <w:pPr>
        <w:contextualSpacing w:val="0"/>
        <w:rPr/>
      </w:pPr>
      <w:r w:rsidDel="00000000" w:rsidR="00000000" w:rsidRPr="00000000">
        <w:rPr>
          <w:rtl w:val="0"/>
        </w:rPr>
        <w:t xml:space="preserve">Jed S. Rakoff NOVEMBER 23, 2017 ISSUE</w:t>
      </w:r>
    </w:p>
    <w:p w:rsidR="00000000" w:rsidDel="00000000" w:rsidP="00000000" w:rsidRDefault="00000000" w:rsidRPr="00000000">
      <w:pPr>
        <w:contextualSpacing w:val="0"/>
        <w:rPr/>
      </w:pPr>
      <w:r w:rsidDel="00000000" w:rsidR="00000000" w:rsidRPr="00000000">
        <w:rPr>
          <w:rtl w:val="0"/>
        </w:rPr>
        <w:t xml:space="preserve">Benched: Abortion, Terrorists, Drones, Crooks, Supreme Court, Kennedy, Nixon, Demi Moore, and Other Tales from the Life of a Federal Judge</w:t>
      </w:r>
    </w:p>
    <w:p w:rsidR="00000000" w:rsidDel="00000000" w:rsidP="00000000" w:rsidRDefault="00000000" w:rsidRPr="00000000">
      <w:pPr>
        <w:contextualSpacing w:val="0"/>
        <w:rPr/>
      </w:pPr>
      <w:r w:rsidDel="00000000" w:rsidR="00000000" w:rsidRPr="00000000">
        <w:rPr>
          <w:rtl w:val="0"/>
        </w:rPr>
        <w:t xml:space="preserve">by Jon O. Newman</w:t>
      </w:r>
    </w:p>
    <w:p w:rsidR="00000000" w:rsidDel="00000000" w:rsidP="00000000" w:rsidRDefault="00000000" w:rsidRPr="00000000">
      <w:pPr>
        <w:contextualSpacing w:val="0"/>
        <w:rPr/>
      </w:pPr>
      <w:r w:rsidDel="00000000" w:rsidR="00000000" w:rsidRPr="00000000">
        <w:rPr>
          <w:rtl w:val="0"/>
        </w:rPr>
        <w:t xml:space="preserve">William S. Hein, 306 pp., $29.95 (paper)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Jon O. Newman</w:t>
      </w:r>
    </w:p>
    <w:p w:rsidR="00000000" w:rsidDel="00000000" w:rsidP="00000000" w:rsidRDefault="00000000" w:rsidRPr="00000000">
      <w:pPr>
        <w:contextualSpacing w:val="0"/>
        <w:rPr/>
      </w:pPr>
      <w:r w:rsidDel="00000000" w:rsidR="00000000" w:rsidRPr="00000000">
        <w:rPr>
          <w:rtl w:val="0"/>
        </w:rPr>
        <w:t xml:space="preserve">Judges Jon O. Newman and Denise Cote at the Second Circuit Judicial Conference in 1997, with Judge Newman impersonating Carnac the Magnificent, the character created by Johnny Carson on The Tonight Show</w:t>
      </w:r>
    </w:p>
    <w:p w:rsidR="00000000" w:rsidDel="00000000" w:rsidP="00000000" w:rsidRDefault="00000000" w:rsidRPr="00000000">
      <w:pPr>
        <w:contextualSpacing w:val="0"/>
        <w:rPr/>
      </w:pPr>
      <w:r w:rsidDel="00000000" w:rsidR="00000000" w:rsidRPr="00000000">
        <w:rPr>
          <w:rtl w:val="0"/>
        </w:rPr>
        <w:t xml:space="preserve">Judges come in many flavors. Thurgood Marshall could be salty, even spicy. In dissent, Antonin Scalia could be sour and occasionally bitter. Almost no judge qualifies as sweet. But in his autobiography, Benched, the distinguished federal appellate judge Jon O. Newman seems to embody what scientists have described as the fifth basic taste—umami, meaning savory or, as appropriate here, meaty.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Newman has served as a federal judge for more than forty-six years, most of them on the Second Circuit Court of Appeals (which handles federal appellate cases arising in New York, Connecticut, and Vermont). Within the legal profession, he is well known and highly regarded. When he received the federal judiciary’s highest honor, the Devitt Award, in December 2016, Justice Sonia Sotomayor described him as “a man of uncommon brilliance, and generosity.” His legal contributions have directly influenced the development of the law and thereby indirectly affected the lives of thousands of ordinary Americans—most of whom have never heard of him.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Will the publication of his fine autobiography alter his comparative anonymity? Probably not. Although Benched is filled with interesting, often delightful anecdotes, it has (as its punning title suggests) a certain insider quality that may limit its accessibility. For example, Newman describes the machinations that he had to go through in order to have a bust of former federal judge Henry Friendly—almost universally regarded as the most accomplished federal judge of the 1960s and 1970s—added to the courtroom where the Second Circuit sat. Although one might have thought this would be easy, Newman knew better, because Irving Kaufman (infamous for sentencing Julius and Ethel Rosenberg to death) “was still the chief judge, and I suspected that his vanity and ego, large even by judicial standards, would not make him receptive to my proposal.” (This is as close as Newman comes in the entire book to saying anything disparaging about a colleague, let alone about judges in general.) It was only by secretly enlisting other judges in his plot, choosing the right moment, and then presenting Kaufman with an effective fait accompli that Newman achieved his goal.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those of us who personally knew both Friendly and Kaufman, this story is delicious. But to most readers, it may well seem of little consequence. Over the past decade or more, I have each year asked my students at Columbia Law School, “Who was Henry Friendly?” In response I usually get blank stares or, occasionally, “Isn’t that the guy Chief Justice Roberts clerked for?” The judicial vanity of which Newman rightly takes note is nicely matched, it would appear, by the speed with which even great judges are forgotten.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Equally unnoticed, it seems, are the considerable efforts undertaken by what the Constitution calls the “inferior” courts (i.e., all the federal courts except the Supreme Court) to develop and carry out the law of the land. How many people now remember, for example, that after the Supreme Court expressly left open in Brown v. Board of Education the manner in which integration was to be achieved, it was a group of heroic (and frequently threatened and reviled) federal judges—including John R. Brown of Texas, Frank M. Johnson Jr. and Richard Rives of Alabama, Elbert P. Tuttle of Georgia, and John Minor Wisdom and J. Skelly Wright of Louisiana—who made it a reality in the Deep South?*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this vein, Benched is important, among other reasons, for reminding us of Newman’s contribution to devising the legal theory that ultimately led to Roe v. Wade. In 1972, only a few months after becoming a federal judge, he cast the deciding vote in a 2–1 decision holding that an 1860 Connecticut statute prohibiting abortions was an unconstitutional invasion of a woman’s right to privacy in the absence of a compelling state interest in preventing abortions. In response, the Connecticut state legislature enacted a new anti-abortion statute, the express purpose of which was “to protect and preserve human life from the moment of conception.” On that basis, the new statute prohibited all abortions except those necessary to “preserve the physical life of the mother.”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question of whether this new statute was constitutional then returned to the same three-judge court, which again held it unconstitutional by a 2–1 vote. Writing for the majority, Newman put forward the somewhat original legal theory that the state’s interest in preserving the life of the fetus could not override the mother’s constitutional right to control her own body and decide whether to bear a child until the moment of “viability,” when the fetus could survive outside the womb. It was this theory that the Supreme Court (in an opinion that twice cited Newman’s decision) adopted a year later in Roe v. Wade.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four and a half decades since then, Newman has contributed significantly to the reasoned evolution of the law in areas as diverse as national security, free speech, intellectual property, criminal law, extraterritorial jurisdiction, and federal procedure. While he disclaims adherence to any “overarching” judicial philosophy, he notes that “I tend to be a strong proponent of the freedom of expression guaranteed by the First Amendment and a strong opponent of racially based governmental actions prohibited by the Equal Protection Clause of the Fourteenth Amendment.” But he then adds, “I am not sure why I have taken strong positions on either matter.”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His uncertainty in this respect surprises me. As he writes elsewhere in the book, US federal judges are given a degree of independence nearly unique among the world’s judiciaries, and a prime reason for providing such independence, as any student of the Federalist Papers knows, is to enable them to protect unpopular causes and unfairly treated minorities against the tyranny of the majority. What should bother us, therefore, is not that great judges like Newman undertake to fulfill that obligation, even if only instinctively, but that so many other judges fail to recognize their appointed responsibility to make sure that equal justice is provided to the unpopular and the oppressed.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Another duty that many judges ignore but that Newman expressly recognizes is their duty (as set forth, for example, in the Code of Conduct for United States Judges) to contribute to the improvement of the administration of justice by suggesting to other branches of the government helpful statutes, procedures, and regulations, as well as by improving procedures within the judiciary itself. As the current chief judge of the Second Circuit, Robert A. Katzmann, has stated: “If Jon Newman were a sports figure, he would be the perennial winner of the most valuable player award for his contributions to the administration of justice.”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However, as the saying goes, we should be careful what we wish for; and in at least one respect Newman appears to have seller’s remorse, specifically over his role in promoting the Federal Sentencing Guidelines. These take the form of an immensely complicated set of rules, now extending over more than six hundred pages, that federal judges must use to calculate a proposed prison sentence for any defendant convicted of a federal crime (though once the calculation is made, judges may vary from it). As Newman notes, the intellectual impetus for the guidelines was a 1973 book called Criminal Sentences: Law Without Order, by the late Marvin Frankel, a well-respected judge on my court and previously a law professor at Columbia Law School. Frankel was highly critical of how his fellow judges determined prison sentences. He argued that a lack of meaningful standards led to irrational sentencing disparities, with some judges imposing substantial prison terms for crimes that other judges treated leniently. He proposed the creation of a sentencing commission to devise specific, though nonbinding, guidelines for what prison terms should be imposed in any kind of case. A federal judge could then use these guidelines as a helpful starting point in determining the appropriate sentence.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all sounded reasonable. Frankel, who prided himself on being ecumenical, suggested that the sentencing commission consist not only of lawyers and judges but also of “sociologists, psychologists, business people, artists, and, lastly for emphasis, former or present prison inmates.” While this may have been unrealistic to the point of fantasy, the overall proposal won the support of many liberals, notably Senator Ted Kennedy and his then aide Stephen Breyer. It also won the support of Newman, who was one of only a few federal judges to testify in favor of the concept of sentencing guidelines as Kennedy’s bill authorizing them made its way through Congress and was finally enacted, taking effect in 1984. However, as Newman writes,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the [sentencing] commission’s first draft appeared in 1986, those of us who had favored guidelines were appalled. We had anticipated a modest set of flexible guidelines…. Instead, the commission, heavily influenced by three professors on the seven-member commission, created an extraordinarily detailed and complicated set of guidelines…. The guidelines did not just limit the discretion of sentencing judges, it constricted it to an extent no one could have predicted.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a result, Newman became a critic of the now rather misnamed Sentencing Guidelines, which were really not guidelines at all. He “wrote articles and testified at commission hearings in favor of guidelines simplification, all to no avail.”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Nevertheless, the Sentencing Guidelines, ever popular with Congress, and increasingly accepted by new federal judges who have never known anything else, appear to be here to stay. Newman now realizes his mistake, and devotes an entire chapter of Benched to what he terms the guidelines’ “incremental immorality,” i.e., the irrational way in which, under the guise of simply making arithmetic calculations, they pile on punishments to absurd lengths.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may be suggested, however, that even Newman’s trenchant criticisms do not take the full measure of the problems with the guidelines. To begin with, they rest on a false premise: that all the many factors that a fair and reasonable judge should take into account in determining a prison sentence can be reduced to a numerical calculation by assigning quantitative values (themselves determined more or less arbitrarily) to every combination of factors and circumstances that might arise in any given case.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Moreover, the guidelines, by thus focusing on the assignment of numbers, wind up according much more importance to factors that can be objectively measured—such as the weight of the drugs involved in a narcotics transaction or the amount of financial loss occasioned by a fraud—than to factors that cannot easily be measured, such as what led the defendant to commit the crime and what part his own personal, psychological, social, and financial circumstances played in his poor decision. The result is that, despite the guidelines’ complexity, considerably more than half of the prison-time calculation in narcotics cases (which comprise 40 percent of the federal criminal docket) is a function of the weight of the drugs, around two thirds of the calculation in financial crime cases (which comprise another 35 percent of the federal criminal docket) is a function of the amount of money lost by the victims, and so forth.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true that the guidelines, which were for many years binding on federal judges, are now discretionary (not because of any legislative change but as a result of a 2005 Supreme Court decision). In theory, judges may now take greater account of less measurable factors like a defendant’s background, circumstances, and culpability. But this improvement has been more than offset by two other developments. First, Congress has repeatedly required the Sentencing Commission to increase the severity of guidelines-recommended sentences, so that, for example, even many nonviolent crimes now result in guidelines calculations of twenty, thirty, or forty years, or even life imprisonment.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Second, judges are still required to calculate the guidelines sentence before they even consider varying from it, and this predisposes judges to impose much longer sentences than they might otherwise choose. Thus, while nearly half of all sentences now imposed are below the guidelines (itself a commentary on the guidelines’ accuracy), many of these are relatively small variances—for the obvious reason that a judge who calculates a guidelines sentence of, say, thirty years may be reluctant to impose a sentence of, say, five, ten, or even twenty years, feeling that so great a variance would undercut the guidelines’ stated purpose of avoiding substantial sentencing disparities.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truth, however, is that the guidelines do not even achieve their intended purpose of avoiding disparities. Because so much of the guidelines calculation is a function of measurable quantities like the weight of the drugs or the amount of the economic loss, prosecutors and defense lawyers routinely enter into plea bargains that contain negotiated calculations as to the amount of drugs a given defendant was responsible for distributing or how much economic loss was attributable to the acts of a particular defendant, for example. These negotiated calculations are endemic, because plea bargains resolve over 97 percent of all federal criminal cases that are not dismissed at the outset.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Yet the individual federal prosecutors within a given office vary substantially in how tough or lenient they are during these negotiations, and different federal prosecutors’ offices vary among themselves even more. Nor, with rare exceptions, are there any internal guidelines of any kind governing these negotiations, which are conducted in secret. As for the judge who ultimately imposes a sentence, she is rarely if ever in a position to question these critical guidelines calculations to which the parties have agreed. The reality, therefore, is that there are probably greater actual disparities in federal sentences today than there were during the pre-guidelines era.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Fortunately, most of the innovations supported by Newman have not backfired the way the Sentencing Guidelines have. To his further credit, he is frank in admitting past mistakes while continuing to recommend improvements in the administration of justice, recognizing that we still have a long way to go to achieve a system that is fair and just. Indeed, he devotes the entire final section of Benched to proposing no fewer than twenty substantive improvements to our system of justice, ranging from limiting to five years the time any prison employee is permitted to guard prisoners (so as to reduce the documented tendency of prison guards to become “hardened” and even sadistic over time) to permanently institutionalizing the office of special prosecutor (so as to avoid the political and public pressures on ad hoc special prosecutors).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Newman’s most far-reaching proposal is to permit literally any American to challenge in federal court any government action that violates the laws or Constitution of the United States. As he states: “Whenever a government official takes or threatens unlawful action, any person should be allowed to challenge such action in court. Unfortunately that is not now possible because of the Supreme Court’s restrictive approach as to who has ‘standing’ to file a lawsuit.”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concept of “standing” to which Newman refers is largely a judge-made limitation that even judges find somewhat opaque. Article III, section 2 of the Constitution provides that “the judicial power [of the federal courts] shall extend to all cases, in law and equity, arising under this Constitution, the laws of the United States, and treaties made, or which shall be made, under their authority”; but it says nothing about who can sue a government official for violations of the Constitution or of those laws and treaties. However, under the doctrine of “standing” as applied to government misconduct, no one can bring suit in federal court for a government official’s allegedly unlawful acts unless the complainant has suffered, as a direct result of the alleged misconduct, a concrete injury that is personal to that plaintiff, sometimes referred to as an “injury in fact.”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Moreover, though the law of standing is notoriously inconsistent, at least some Supreme Court cases suggest that even if a would-be plaintiff has suffered such a concrete personal harm, in the words of Warth v. Seldin (1975) he still is not entitled to sue “when the asserted harm is a ‘generalized grievance’ shared in substantially equal measure by all or a large class of citizens.” Newman is particularly critical of this last requirement, for it arguably places someone seeking redress in the federal courts for some unlawful government action in a Catch-22. If the unlawful action is so modest or narrow as not to have caused the complainant any direct, concrete personal harm, he cannot sue. But if the unlawful action is so substantial or broad as to have materially harmed not just him, but an entire group of his fellow citizens, he cannot sue either.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More generally, the result of the federal law of standing, Newman asserts, is largely to insulate many government officials from any judicial scrutiny of their actions, no matter how unlawful. He is also dismissive—perhaps too much so—of the conventional argument that without some kind of limitation on who can bring a suit for government misconduct, the federal courts would be overwhelmed with them. Newman responds that frivolous lawsuits can easily be dismissed at the outset; while this may be a bit facile, it must be admitted that recent Supreme Court jurisprudence has made it considerably easier for federal courts to dismiss “implausible” lawsuits before they get under way.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Newman also addresses the argument that the current doctrine narrowly limiting a person’s standing to sue government officials is necessary to allow such officials to take discretionary actions without having to fear that they will constantly be second-guessed in the courts. He points out that other judge-made doctrines, such as absolute immunity for prosecutors and partial immunity for police, have been developed by the courts to prevent such a danger—though he is critical of the reach of those doctrines as well.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 the level of policy, Newman notes that the doctrine of limited standing is said to be rooted in notions of separation of powers and judicial restraint. In the words of the Supreme Court, it “serves to prevent the judicial process from being used to usurp the powers of the political branches” (Clapper v. Amnesty Int’l USA, 2013) and “confines the federal courts to a properly judicial role” (Spokeo, Inc. v. Robins, 2016). Newman says that, as a general matter, he favors judicial restraint, for “only self-imposed judicial restraint keeps our valuable independence from tempting us to overstep our bounds.” But when self-restraint is carried to such lengths as to insulate from any judicial review huge swaths of government conduct, it departs from the equally historic role of the courts as a check on excess by the other branches of government. If the courts, the ultimate arbiters of what federal law is, cannot be counted on to determine when that law has been broken, who can?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Although one might want to exercise some caution before adopting Newman’s sweeping notion that there should be virtually no limit on the right of an American to sue any government official he believes is breaking federal law, Newman at least makes a persuasive argument for easing the restrictions that now limit the ability of almost everyone to challenge government misconduct in federal court. Some might argue that current events demonstrate the need for such broadening.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My own view is that the concept of standing as applied to allegations of unlawful government actions has become so hopelessly vague as to allow judges to reach whatever result they want in a given case under the guise of granting or denying standing. As Justice John Marshall Harlan II, the most thoughtful conservative judge on the Warren Court, complained in 1968, the concept of standing is a “word game played by secret rules.” Harlan was complaining about the broad notions of standing adopted by the Warren Court, but the same complaint applies equally well to the narrow notions of standing adopted by the current Supreme Court. Concepts like “concrete injury” or “injury in fact” are so vague as to be readily manipulated to favor a judge’s personal agenda.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 would therefore favor replacing the current doctrine of standing with much more specific, and narrow, rules about who can or cannot sue for government misconduct. But I am pessimistic that the current Supreme Court will promulgate such rules, let alone take Newman’s suggestion and scrap the concept of standing altogether. In the Anglo-American system of law, with its devotion to judicial precedent, judges tend to be mired in the past, and changes come slowly, if at all.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Nevertheless, precisely because the law of standing is made by judges, judges can unmake it as well. And a law of standing that is so vague as to be easily manipulated is, in reality, no law at all. The whole business of standing therefore requires a fresh look. If this ever happens, it will only be because of strong, persuasive, and progressive judges like Jon O. Newman.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Jack Bass, Unlikely Heroes (Simon and Schuster, 1981).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