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11/5/2017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Freud’s Clay Feet</w:t>
      </w:r>
    </w:p>
    <w:p w:rsidR="00000000" w:rsidDel="00000000" w:rsidP="00000000" w:rsidRDefault="00000000" w:rsidRPr="00000000">
      <w:pPr>
        <w:contextualSpacing w:val="0"/>
        <w:rPr/>
      </w:pPr>
      <w:r w:rsidDel="00000000" w:rsidR="00000000" w:rsidRPr="00000000">
        <w:rPr>
          <w:rtl w:val="0"/>
        </w:rPr>
        <w:t xml:space="preserve">Lisa Appignanesi OCTOBER 26, 2017 ISSUE</w:t>
      </w:r>
    </w:p>
    <w:p w:rsidR="00000000" w:rsidDel="00000000" w:rsidP="00000000" w:rsidRDefault="00000000" w:rsidRPr="00000000">
      <w:pPr>
        <w:contextualSpacing w:val="0"/>
        <w:rPr/>
      </w:pPr>
      <w:r w:rsidDel="00000000" w:rsidR="00000000" w:rsidRPr="00000000">
        <w:rPr>
          <w:rtl w:val="0"/>
        </w:rPr>
        <w:t xml:space="preserve">Freud: The Making of an Illusion</w:t>
      </w:r>
    </w:p>
    <w:p w:rsidR="00000000" w:rsidDel="00000000" w:rsidP="00000000" w:rsidRDefault="00000000" w:rsidRPr="00000000">
      <w:pPr>
        <w:contextualSpacing w:val="0"/>
        <w:rPr/>
      </w:pPr>
      <w:r w:rsidDel="00000000" w:rsidR="00000000" w:rsidRPr="00000000">
        <w:rPr>
          <w:rtl w:val="0"/>
        </w:rPr>
        <w:t xml:space="preserve">by Frederick Crews</w:t>
      </w:r>
    </w:p>
    <w:p w:rsidR="00000000" w:rsidDel="00000000" w:rsidP="00000000" w:rsidRDefault="00000000" w:rsidRPr="00000000">
      <w:pPr>
        <w:contextualSpacing w:val="0"/>
        <w:rPr/>
      </w:pPr>
      <w:r w:rsidDel="00000000" w:rsidR="00000000" w:rsidRPr="00000000">
        <w:rPr>
          <w:rtl w:val="0"/>
        </w:rPr>
        <w:t xml:space="preserve">Metropolitan, 746 pp., $40.00</w:t>
      </w:r>
    </w:p>
    <w:p w:rsidR="00000000" w:rsidDel="00000000" w:rsidP="00000000" w:rsidRDefault="00000000" w:rsidRPr="00000000">
      <w:pPr>
        <w:contextualSpacing w:val="0"/>
        <w:rPr/>
      </w:pPr>
      <w:r w:rsidDel="00000000" w:rsidR="00000000" w:rsidRPr="00000000">
        <w:rPr>
          <w:rtl w:val="0"/>
        </w:rPr>
        <w:t xml:space="preserve">Sigmund Freud</w:t>
      </w:r>
    </w:p>
    <w:p w:rsidR="00000000" w:rsidDel="00000000" w:rsidP="00000000" w:rsidRDefault="00000000" w:rsidRPr="00000000">
      <w:pPr>
        <w:contextualSpacing w:val="0"/>
        <w:rPr/>
      </w:pPr>
      <w:r w:rsidDel="00000000" w:rsidR="00000000" w:rsidRPr="00000000">
        <w:rPr>
          <w:rtl w:val="0"/>
        </w:rPr>
        <w:t xml:space="preserve">Sigmund Freud; drawing by Siegfried Woldhek</w:t>
      </w:r>
    </w:p>
    <w:p w:rsidR="00000000" w:rsidDel="00000000" w:rsidP="00000000" w:rsidRDefault="00000000" w:rsidRPr="00000000">
      <w:pPr>
        <w:contextualSpacing w:val="0"/>
        <w:rPr/>
      </w:pPr>
      <w:r w:rsidDel="00000000" w:rsidR="00000000" w:rsidRPr="00000000">
        <w:rPr>
          <w:rtl w:val="0"/>
        </w:rPr>
        <w:t xml:space="preserve">Frederick Crews has a loyalty of preoccupation rare in a literary academic. His attacks on Sigmund Freud began way back in the mid-1970s with his publicly proclaimed conversion away from the Freudian literary criticism he practiced at the time. Since then his assault has drawn sustenance from a variety of revisionist Freud sleuths and scholars. High among the sleuths is the tireless Peter Swales, a onetime assistant to the Rolling Stones and a follower of the cultish G.I. Gurdjieff, who grew interested in Freud because of his cocaine use and sniffed out all manner of facts about the originals of his cases and his supposed affair with his sister-in-law. The scholars include more academic thinkers whose conclusions about Freud don’t always agree with Crews’s, whatever their arguments with Freud’s practice or writings. Like Karl Popper or Adolf Grünbaum, they may also question Freud’s status as a scientist—whether he was one at all, or whether his claims are sufficiently supported by empirical evidence.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Crews’s 746-page biography, Freud: The Making of an Illusion, damning and mesmerizing by turns, is about the young Freud and reaches The Interpretation of Dreams only on page 543, allowing just a few brief glimpses into the second part of his life. It marks the zenith of what has become Crews’s crusade “to put an end to the myth of psychoanalysis and its creator” by stripping Freud of both his empiricist credentials and the image of a “lone explorer possessing courageous perseverance, deductive brilliance, tragic insight, and healing power,” a series of attributes Crews finds in Freud’s own self-portrayal and in Ernest Jones’s landmark biography (1953–1957).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idealization of Freud the man that Crews is so keen to prove a blinding illusion is hardly prevalent. Most scholars, commentators, and even analysts don’t need it to make use of Freud’s insights into the opacity and unpredictability of the human mind, or the ways in which love and hate coexist, or how our childhoods echo through us, sometimes trapping us, or how our identifications with early figures in our lives shape the complicated humans we become. Or perhaps most important, how much we share with those whom we casually label with the many diagnoses in the Diagnostic and Statistical Manual of Mental Disorders (DSM).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Jones himself, by the time he wrote his biography of Freud, had shifted his theoretical allegiances to Melanie Klein, the Hungarian analyst who so influenced the British Pychoanalytic Society. Indeed, the Freud illusion was only prevalent in the United States from the 1950s until about 1968. At that time, Freud was taken up first by liberal then by radical intellectuals like Herbert Marcuse; and Freudian therapy, in an American translation, formed part of psychiatric training. Freud, who had died in 1939, became an often comic know-it-all figure in popular culture. Ironically, despite this “fame,” in 1956, the year of his centenary, there were only 942 card-carrying psychoanalysts in the country.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the attention Freud receives that most irritates Crews. His opening line headily claims: “Among historical figures, Sigmund Freud ranks with Shakespeare and Jesus of Nazareth for the amount of attention bestowed upon him by scholars and commentators.” Surely not. And surely not even in America, where Jesus—with his clergy and priests, many of whom count as scholars and commentators, not to mention his countless churches, followers, websites—still gets more attention than the author of The Interpretation of Dreams and Civilization and its Discontents. But Crews is on the march against the man who purportedly had a “craving to pull down the temple of Pauline law.” Perhaps Pope Pius XII hadn’t noticed this when in 1953 he formally approved “the use of psychoanalysis as a healing device,” indicating that “science affirms that recent observations have brought to light the hidden layers of the psychic structure of man.”1 Pope Francis himself recently revealed that he had had psychoanalysis at the age of forty-two. He called his analyst a courageous woman.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Crews’s subtitle echoes Freud’s The Future of an Illusion (1927), in which Freud argues that our religious beliefs are “fulfilments of the oldest, strongest, and most urgent wishes of mankind.” Crews doesn’t explore—as Ernest Gellner did in The Psychoanalytic Movement (1985)—how the growth of psychoanalysis may be understood as akin to the development of a religious movement, or how its claims, while pretending to be scientific, are actually those of a belief system in disguise. His main thrust is always ad hominem. Crews is convinced that if Freud is shown to be a case-faking scoundrel more interested in money than patients, then everything he has written about repressed memories, sexuality and desire, fantasy and the Oedipal romance of the family, dreams, slips, and the everyday workings of the human mind will be seen to be only the seedy fictions of a demented, hypnotizing Caligari, after whose cabinet Crews suggestively names one of his chapters.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Crews’s view Freud was a man who set out to “achieve fame at any cost” and who sacrificed “his integrity as both a scientist and a physician” to that end. Having invented a science with no empirical base, only fabrication, Freud, with his inability to “forgo his luxuries,” his “commercial mentality,” and his aim “to protect and promote his brand,” was able to perpetrate a gigantic hoax on the twentieth century.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rhetorical strategy at work here is that of a talented prosecutor. It traps the reader. Either you buy into the facts Crews foregrounds and relish the mounting glee of his attack or you’re propelled into an identification with the accused and ever struggling for breath, wishing that a defense attorney were in sight.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also makes you wonder why on June 23, 1938, a bare two weeks after Freud, fleeing Nazi persecution, landed in England with his immediate family, he received a visit from representatives of the Royal Society, the world’s oldest scientific establishment. Founded in 1660, inspired by Francis Bacon, and including among its eminent fellows Isaac Newton and Charles Darwin, it had elected Freud to be one of its 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had this elite scientific body decided to name Freud to its ranks? The citation certificate reads “for pioneering work in psychoanalysis.” The ever-disputatious fellows, with their long view of history, knew that science is not a narrow domain whose residents, like adherents of a strict religion, follow one rigid set of eternal rules, but rather a capacious and diverse mansion where observation of not only the animal but also the human world could count as science, where doubters could live side by side and engage in heated argument.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They also, in their wisdom, recognized that scientists are not uniformly consistent either in their ideas or in their lives. Nor is it always clear how one shapes the other. Newton, who had formulated the laws of motion and universal gravitation, was also a mystic with beliefs strange even for his time, and behaved fraudulently in a dispute with Leibniz. Crews, by contrast, seems to idealize science and even to dehistoricize it, forgetting that at the time Freud began his practice, dangerous patent medicines were touted by many doctors in the US; clinical trials of drugs were not instituted until 1947.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 is only interested in Freud’s speculations and observations when they relate to hysteria and his earliest cases, or to his rivalries, claims to priority, and “lazy reluctance to collect sufficient evidence.” He portrays Freud as “aroused” by “envy” of the well-connected young French psychologist Pierre Janet, and claims that Freud simply borrowed Janet’s conceptions of the unconscious and symptom formation. But the Standard Edition of Freud’s writings has sixty references to Janet and his ideas, tracing a sustained argument with him between 1888 and 1925. Freud may want to win the debate, but there is nothing to indicate that he thought his own ideas came to him ex nihilo—as his own notes and countless references to literature ancient and modern suggest.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 brings a great many, if highly selective, facts to his case. His early Freud is not only a sloppy neurologist but a deluded cocaine addict, a betrayer of friends, homoerotic in his desires (though he may have committed adultery with his sister-in-law), and a doctor who had very few patients on whom to base his ever-changing theories. Those he did have he let down or harmed or falsely suggested ailments to. His only patient was himself. When he didn’t steal his ideas from others, he provided no verifiable evidence for any of his own. He was also neurotic, depressive, and sex-obsessed. The rest is all a giant con. The whole edifice of psychoanalysis, Freud’s insights over many volumes, is a sham—as must, by deduction, be the worldwide institution of psychoanalysis from Brazil to China and its offshoot therapies.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of the basic facts of Crews’s account, as he admits, already appeared in Ernest Jones’s chatty but far fuller life of Freud. Jones, despite the myth he is purported to have launched, was no hagiographer. He wrote of Freud’s use of the then new drug cocaine, his Victorian views on women and their psychic satisfaction in having children (even if Freud welcomed women into the new profession), his changes of mind as his practice progressed, the autobiographical content in The Interpretation of Dreams, and 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this was in the 1950s, when biographies of public figures rarely went into private matters. When Jones’s biography appeared in the US in 1956, Time stated that it came from the “warts-and-all” school. Crews forgets the “all” and wants only to pick at the warts, aggravate them, and find new ones. In the process what emerges is a lurid Freud who is something of a Faustian cartoon villain. “By 1895,” Crews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Freud had already awarded himself a license to invent, suppress, alter, and rearrange facts in the interest of enhanced self-portraiture and theoretical vindication…. The Katharina chapter [in Studies on Hysteria] puts us on notice that its author…would stop at nothing in manufacturing “evidence” of his imaginary prowess.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Though Crews has written much about the vagaries of memory, for his current purposes it is reliable only as long as it concerns negative memories of Freud. Freud’s own memories, in Crews’s view, inevitably lie. In the climax to a chapter intent on underlining Freud’s lack of success with his early hysterics, his untrustworthy and repugnant nature, and his being “widely regarded with suspicion” by elite Viennese Jews, Crews quotes Arthur Koestler’s mother speaking in 1953 about her experience with Freud sixty-three years earlier. Having been sent to the young neurologist in 1890 at age nineteen and gone only reluctantly, she recalls that “he was a disgusting fellow,” his interest in sex was “scandalous and outlandish,” and no one in her circle took him seriously. She sounds just like a teenager to me, though it’s slightly odd, if what she says about the prevailing view is true, that she was sent to Freud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evidence could of course be used to demonstrate Freud’s sense of himself as a lone outsider, but Crews doesn’t want that either. Freud’s own seventy-page Autobiographical Study (1925) is used to question his veracity about the disappointment he experienced when he first went to the University of Vienna in 1873 at the age of seventeen. “Above all,” the sixty-eight-year-old Freud wrote, “I found that I was expected to feel myself inferior and an alien because I was a Jew.” Crews is skeptical: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Freud had been met with ostracism on entering the university, he surely would have wanted to end the ordeal as speedily as possible, but he lingered over an eclectic potpourri of courses. Nor does it appear that he was deprived of an active social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21 percent of the student body were “already” Jews, though they composed 10.1 percent of the Viennese population, Crews distrusts Freud’s memory, and sees it only as feeding his own myth of an “outcast who had nobly embraced his fate.”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Of course, there is something of the noble lonely pioneer in Freud’s Autobiographical Study. It was part of a series commissioned by Leipzig publishers of brief lives of eminent doctors, several of whom write in the same vein. These are the tropes of the profession. They remember the heroic age of medicine: they are Ibsenesque enemies of the people who have had steep paths to climb, struggles to establish new fields—epidemiology, public health medicine, new diphtheria antitoxins, and, yes, psychoanalysis. The romantic legend that Crews attacks—and arguably it is no more romantic than the scientific romance of the careful, persistent siever of years of accumulated evidence—is not peculiar to Freud, even if his may be the one we know best.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it is Crews’s querying of Freud’s feelings about anti-Semitism that is itself questionable here. Contrary to what he states, anti-Semitism was in fact prevalent when Freud entered the university. But no young person hungry for knowledge, as Freud was, and strained in finances would be easily routed by prejudice and leave his studies. Crews is sadly deaf to ambivalence, the simultaneous wishes to belong and make a triumph of feeling yourself apart, in particular when it comes to Freud.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voluminous correspondence between Freud and his fiancée, Martha Bernays—known as Die Brautbriefe since it covers the period of their engagement—has recently been made available on the Library of Congress website, and also published in meticulously edited form in German. Of the five projected volumes, three have appeared in German2 and one in English. Though a selection of the letters had been published before and Jones had had access to all of them, the Brautbriefe is one of the new sources Crews brings to his biography.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letters begin in June 1882, when Freud is an impoverished young researcher and end in September 1886, after he had returned home from his four months of research in Paris at the Salpêtrière hospital with Jean-Martin Charcot, the Napoleon of the Neuroses. They cover the period when Freud set up in private practice, alongside his hospital work, so that he could earn enough of a living on which to support a wife and children, as well as the many other members of his family who were dependent on him. The Brautbriefe, eloquent on both sides, are used by Crews largely to throw vitriol at Freud. Freud’s constant references to money and desperate need for it—either from new discoveries that would secure future posts or, toward the end of the period when he has decided to abandon research, from new paying patients—are never seen as something Martha might expect from a fiancé forced to delay their marriage. In Crews’s view they’re a signal that Freud values wealth above scientific integrity or his patients.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 is taken aback by the daily toll of Freud’s letters with their details of “migraine headaches, crippling depression, and outbursts of fierce anger,” occasionally against Martha, but mostly against people who have slighted him. It’s Martha, too, who gets all the ups and downs that accompany Freud’s cocaine habit during these years, his lustful fantasies, and, far more sadly, his confessed failure to cure his friend Ernst Fleischl von Marxow of morphine addiction. It’s hard for Crews to imagine why Martha Bernays—intelligent, well read, from a more privileged background—waited for and decided to marry the dishonest, bungling bully Crews portrays and stay with him through six children and fifty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 decision is even more astonishing given Crews’s belief in the circumstantial evidence that purportedly places her sister Minna, who moved in with the Freuds soon after their sixth child arrived, squarely in her husband’s bed, not only on travels, one of which might have ended with an abortion, but in a house filled with children who never noticed. No one else ever actually saw the two in bed together either, nor have any records of an abortion been found by assiduous investigators into Freud’s life. The rumor of the relationship comes from a casual remark that Carl Jung—himself a serial adulterer—made in 1957 that Minna had confessed the affair to him as he was leaving the Freud apartment in 1907.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Crews’s fulsome concentration on the details of what he blithely calls “Sigmund and Minna’s lovefest on the banks of Lake Garda” and the supposed subsequent abortion is meant to undermine the moral credentials that have been attributed to the “legendary” Freud by his biographers Ernest Jones and Peter Gay. But equally important for Crews is the opportunity the episode gives him to do some textual analysis—to give us “an object lesson in how to apprehend Freud’s texts with due awareness of their guile.”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aim is to reveal that much of Freud’s writing on dreams, screen memories (or memories that hide deeper or older memories), love, sex, and marriage is more autobiographical than we already know. His Freud is utterly solipsistic, never actually drawing on patients or any human and social observation. So Freud’s essays on sex, love, and marriage (1908, 1910–1911) are built on his own case, not on more general behavior. Yet his Viennese contemporaries, like Arthur Schnitzler and Stefan Zweig—as well as early feminists who decry the lack of education, including sexual education, for women at the time—paint a picture of life that corresponds to Freud’s descriptions.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 has a good grasp of the general culture of neurological and psychiatric medicine at the turn of the last century, but in his zealous attempt to indict Freud, he fails to give it proper historical weight. There were no cures for psychiatric illnesses, including hysteria, with its wide range of often severe symptoms. Treatments were harsh, penitential, and sometimes terminal.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Freud learned from Charcot, Crews tries to disparage him. Charcot was indeed theatrical in his public lectures and used hypnotism. But hypnotism was one of the time’s scientific experimental methods, and in Charcot’s case a diagnostic tool. Crews chooses not to mention that what Freud learned from Charcot was “la chose genitale”—the sexuality that was everywhere in the hospital and in the stories the hysterics told about themselves and to which Freud, unlike Charcot, listened.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contrast, Crews rightly admires the German psychiatrist Emil Kraepelin, a contemporary of Freud’s, for his orderly disease classifications and descriptions, the kind that form the basis for the DSM. Kraepelin may have kept the kinds of tables Crews values, but he was also a believer in the born criminal and a firm eugenicist, facts Crews doesn’t bother with. Both Kraepelin and Charcot had large asylum populations to draw on for their detailed clinical descriptions. But neither was primarily interested in curing the mentally ill.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Freud at least attempted to do so. At the time, mental hospitals and private clinics used whatever drugs they could find, from chloral to potassium bromide, to calm their patients. The anguished behavior of the ill—often verbally, sexually, and physically agitated—is well known. It’s hardly surprising that Josef Breuer used sedatives on Bertha Pappenheim, known as Anna O., the first patient in the Studies on Hysteria, or that Freud at first tried that and whatever other techniques were available to him. Managing such patients was the best that could be done. Failure was the norm.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Freud left drugs and hypnotism behind for his new, far gentler talking and listening therapy. Most hospitals and asylums, even clinics, did not. In the course of the more “scientific” twentieth century came miracle cures, often deadly on application, such as insulin, tooth-pulling, lobotomy, and electroconvulsive therapy (ECT). Modern ECT entails a more powerful application of electricity than the nineteenth-century electrotherapies the young Freud used, and for which Crews mocks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Crews’s decision to turn Freud’s work with his early hysterical patients into an exposé of his callow incompetence makes for unsavory reading. Many mental and emotional illnesses are intractable or recurrent. If Freud at first turned to a sexual and eventually a familial etiology for the internal conflicts that in his view led to illness, he often enough, as in the case of Dora, alerted us to his own mistakes in treatment. Whatever Freud’s highhanded and patriarchal misreadings of this troubled adolescent girl, Dora didn’t commit suicide, as her parents were worried she might; nor did Freud’s other patients. That may not be a miraculous result, but neither is it a total failure, as anyone working in today’s challenging mental health environment would surely agree. Freud, unlike many in his time, at least acknowledged that women’s voices were worth listening to—that women were sexual beings with desires. Crews chooses not to give any positive accounts of analysis with Freud, but there have been notable ones, not least from the American poet H.D. (Hilda Doolittle) and the Russian-born writer and psychoanalyst Lou Andreas-Salomé.</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Nor is it accurate for Crews to claim that Freud had almost no patients in his early years on whom to base his insights, or that he routinely misdiagnosed. His patient record book from 1896 to 1899 is held by the Library of Congress. Freud saw about sixty patients a year for over five hundred visits. It was through these sessions and his own self-analysis that he moved from a short-lived use of hypnosis to a talking treatment based on free association and dream and transference analysis. After 1900, aside from the war years, he was working with patients some eleven hours a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Putting psychological conflicts into words in a therapeutic setting seems to help. The recent exposure of the extent to which negative evidence in clinical trials of much-hyped psychoactive drugs was massaged away with the help of doctors on pharmaceutical company payrolls, the way clinical results highlighted only what would prove profitable, the masking of side effects, suicide among them—all this has made the purported misdeeds of psychoanalysts look benign.3 The talking therapies may produce no instant miracles; neither do they do comparable harm. Insurers may want to think again about costs over a patient’s lifetime. Then, too, hand in hand with the development of these new, highly touted “scientific” psychoactive drugs, the number of sufferers from mental disorders has grown enormously.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Adam Phillips in his brilliant Becoming Freud (2014) or Joel Whitebook in his recent intellectual biography (2017), Crews is never interested in touching on what Freud’s writing might still convey about the mysteries of our everyday lives. I think when it comes to Freud and psychoanalysis, I’ll take my cue from Stanley Cavell: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philosophers in my tradition, I believe, relate to psychoanalysis, if at all, with suspicion, habitually asking whether psychoanalysis deserves the title of a science…. I am for myself convinced that the corpus of Freud’s writing, and a considerable amount of writing that depends upon it, has achieved an unsurpassed horizon of knowledge about the human mind. Accordingly I would not be satisfied with an answer that declares psychoanalysis not to be a science, if that answer denies that horizon of knowledge.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Letters</w:t>
      </w:r>
    </w:p>
    <w:p w:rsidR="00000000" w:rsidDel="00000000" w:rsidP="00000000" w:rsidRDefault="00000000" w:rsidRPr="00000000">
      <w:pPr>
        <w:contextualSpacing w:val="0"/>
        <w:rPr/>
      </w:pPr>
      <w:r w:rsidDel="00000000" w:rsidR="00000000" w:rsidRPr="00000000">
        <w:rPr>
          <w:rtl w:val="0"/>
        </w:rPr>
        <w:t xml:space="preserve">Return of The Freud Wars October 19,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Dagmar Herzog, Cold War Freud (Cambridge University Press, 2017), p. 52.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Sigmund Freud and Martha Bernays, Die Brautbriefe, edited by Gerhard Fichtner, Ilse Grubrich-Simitis, and Albrecht Hirschmüller in collaboration with Wolfgang Kloft (Frankfurt am Main: Fischer, 2011–2015).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Marcia Angell’s articles in these pages, among them “Drug Companies &amp; Doctors: A Story of Corruption,” January 15, 2009; “The Epidemic of Mental Illness: Why?,” June 23, 2011; and “The Illusions of Psychiatry,” July 14, 2011. See also David Healy, The Antidepressant Era (Harvard University Press, 1999) and Let Them Eat Prozac: The Unhealthy Relationship Between the Pharmaceutical Industry and Depression (NYU Press, 2004). ↩</w:t>
      </w:r>
    </w:p>
    <w:p w:rsidR="00000000" w:rsidDel="00000000" w:rsidP="00000000" w:rsidRDefault="00000000" w:rsidRPr="00000000">
      <w:pPr>
        <w:contextualSpacing w:val="0"/>
        <w:rPr/>
      </w:pPr>
      <w:r w:rsidDel="00000000" w:rsidR="00000000" w:rsidRPr="00000000">
        <w:rPr>
          <w:rtl w:val="0"/>
        </w:rPr>
        <w:t xml:space="preserve">RELATED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Sexual Life in Modern China</w:t>
      </w:r>
    </w:p>
    <w:p w:rsidR="00000000" w:rsidDel="00000000" w:rsidP="00000000" w:rsidRDefault="00000000" w:rsidRPr="00000000">
      <w:pPr>
        <w:contextualSpacing w:val="0"/>
        <w:rPr/>
      </w:pPr>
      <w:r w:rsidDel="00000000" w:rsidR="00000000" w:rsidRPr="00000000">
        <w:rPr>
          <w:rtl w:val="0"/>
        </w:rPr>
        <w:t xml:space="preserve">Ian Johnson OCTOBER 26, 2017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Throughout the late 1970s and 1980s, Chinese writers grappled with the traumas of the Mao period, seeking to make sense of their suffering. As in the imperial era, most had been servants of the state, loyalists who might criticize but never seek to overthrow the system. And yet they had been persecuted by Mao, forced to labor in the fields or shovel manure for offering even the most timid opinions.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wrote what came to be known as scar literature, recounting the tribulations of educated people like themselves. A few wrote sex-fueled accounts of coming of age in the vast reaches of Inner Mongolia or the imagined romanticism of Tibet. Almost all of them were self-pitying and insipid, produced by people who were aggrieved by but not reflective about having served a system that killed millions.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Then, in 1992, an unknown writer published a strange novella that told the hilarious and absurd story of two young lovers exiled to a remote part of China near the Burmese border during the Cultural Revolution. There they have an extramarital affair, are caught by officials and forced to write endless confessions, tour the countryside in a minstrel show reenacting their sinful behavior, escape to the mountains, and return for more punishment, until one day they are released, unrepentant and slightly confused.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novella was immediately popular for its sex, which is omnipresent and farcical. But it isn’t described as something liberating during a period of oppression or as a force of nature unleashed by living in Chinese borderlands. Instead, sex is something the Communist Party wants to control—the apparatchiks want the couple to write endless self-criticism so they can drool over the purple prose—but the narrator and his lover still manage to imbue it with a deeper meaning that they understand only later, at the end of the 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the sex, what was most shocking about the novella was how intellectuals are portrayed. They are almost as bad as the party hacks who control them. The novel’s hero cons his lover into the sack, picks fights with locals, dawdles at work, and is as tricky as his tormentors. The novella’s title added to the sense of the absurd. It was called The Golden Age, leaving many to wonder how this could have been anyone’s or any country’s best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who was Wang Xiaobo, the author? He was not part of the state writers’ association and hadn’t published fiction before. But after its publication in Taiwan, The Golden Age was soon published in China and became an immediate success. Wang followed it with a torrent of novellas and essays. He was especially popular with college students, who admired his cynicism, irony, humor—and of course the sex.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Just five years later, in 1997, Wang died of a heart attack at the age of forty-four. Few remarked on his passing. Most in China’s literary scene saw him as little more than an untrained writer who had become famous thanks to bawdy, coarse works. Abroad, almost none of his writing had been translated. He seemed destined to be little more than one of the many writers whose works are reduced to fodder for doctoral students researching an era’s zeitgeist.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twenty years since Wang’s death, however, something remarkable has happened. In the West he remains virtually unknown; a single volume of his novellas has been translated into English. But Chinese readers and critics around the world now widely regard Wang as one of the most important modern Chinese authors. Two new collections of his works have been published in China. Internet forums honor his life and writings. A café has opened in his name. He is now included in every major anthology of recent Chinese fiction, and his essays are considered crucial to understanding China’s recent past.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was also an early user of the Internet and spoke up online for disadvantaged groups—then an unusual position but now common among public figures such as the filmmaker Jia Zhangke, the writer Liao Yiwu, and the novelist Yan Lianke. In a less overtly activist way he resembles the recently deceased Nobel Peace Prize laureate Liu Xiaobo: an interloper who pushed for change outside the state literary and intellectual apparatus.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Wang Xiaobo was born in Beijing in 1952, the fourth of five children; his father, the logician Wang Fangming, was a university professor. That year, the elder Wang had been labeled a class enemy and purged from the Communist Party. The newborn’s name, Xiaobo, or “small wave,” reflected the family’s hope that their political trouble would be minor. It wasn’t, and people like Wang Fangming were rehabilitated only after Mao died in 1976.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memoirs, Wang’s elder brother, Wang Xiaoping, said their mother was so distraught at her husband’s political problems that she spent her pregnancy weeping. She was unable to breastfeed, and Wang Xiaobo grew up with rickets. He had a slightly bulging skull and a barrel chest, as well as bones so soft that he would entertain his four siblings by yanking his legs behind his head and pulling himself along the floor on his stomach like a crab. His one privilege was sweetened calcium pills, which he ate by the handful while his siblings watched enviously.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Despite the family’s misfortunes, Wang grew up intellectually privileged. His father had a wide collection of foreign literature in translation. In school, Wang would stare at the wall and ignore his teachers, but at home he devoured works by Shakespeare, Ovid, Boccaccio, and especially Mark Twain. His brother estimated that Xiaobo could read one hundred pages an hour, even of difficult works by Marx, Hegel, or classical Chinese writers.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Wang Xiaobo was fourteen, Mao launched the Cultural Revolution, hoping to purge the Party of his enemies and return the revolution to a purer state. After that quickly descended into chaos, Mao ordered young people to go down to the countryside to learn from the peasants. Even though weak, Wang volunteered to go to Yunnan, spurred by romantic fantasies of the border region. He was fifteen when he arrived, and he wrote endlessly while there. He would get up in the middle of the night to scribble with a blue pen on a mirror, cleaning it and then writing again. He dreamed of being a writer and rehearsed his stories over and over again.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he returned to Beijing in 1972 he kept writing but didn’t publish. He worked in a factory for six years, and when universities reopened he got a degree and taught in a high school. All along he stayed silent until one day he couldn’t.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have met Wang’s widow, Li Yinhe, several times over the past twenty-five years.1 Until recently I thought of her mainly as China’s foremost expert on sex and interviewed her about Chinese people’s sexual liberation in the reform era (a typical clichéd idea written up by foreign journalists; how often have we read stories about Chinese people’s sexual liberation?).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took me awhile to realize that she was actually a leading chronicler of something more profound: the return of the private sphere in the lives of ordinary people. She had researched and written about China’s gay and lesbian movement, and in recent years has stood up for transgender and bisexual citizens as well, but the bigger picture was the government’s retreat from people’s daily lives.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past spring I talked with her about her late husband. She said that they had had a similar upbringing. Both came from educated families, and both had secretly read novels like The Catcher in the Rye. While in the United States in the 1980s, Wang had read Michel Foucault and his ideas about the human body, but she felt he was more influenced by Bertrand Russell and ideas of personal freedom. “The person he liked to cite the most was Russell, the most basic and earliest kind of liberalism,” she said. “I think he had started reading these books in his childhood.”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two met in 1979 and married the next year. Li was part of a new generation of sociologists trained after the ban on the discipline had been lifted. In the Mao era, sociology had been seen as superfluous because Marxism was supposed to be able to explain all social phenomena. Supported by China’s pioneering sociologist Fei Xiaotong, Li studied at the University of Pittsburgh from 1982 to 1988. Wang accompanied her for the final four years and studiedwith the Chinese-American historian Cho-yun Hsu.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retired, Hsu told me that he was initially flummoxed by Wang. Although not formally a novelist, the young man wanted to write. And although he was living in the United States he spoke very little English. “I realized that I was training not a historian or sociologist but a Chinese novelist who needed to understand history,” he said. “He was writing a form of trauma literature.” Hsu put Wang on a course of independent study, mostly systematic reading in the Chinese classics and recent Chinese history, which had been lacking in his Communist-era education. Wang received a master’s degree in East Asian Studies but spent most of his time writing—for the desk drawer. “He wasn’t ready to publish,” Hsu said. “And I respected that. My goal was to help him develop.”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Li received her Ph.D., the couple returned to China and collaborated on a groundbreaking study, Their World: A Study of the Male Homosexual Community in China. Li eventually took a position at the Chinese Academy of Social Sciences, and Wang taught history and sociology at Renmin and Peking universities.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1989 student movement came and went, ending on June 4 with the Tiananmen massacre. Still, Wang did not publish. “On the night of June 4, we were actually in Xidan [the intersection in Beijing near the worst killings],” Li said. The couple watched the protesters, hoping they would succeed where their generation had failed. “Wang Xiaobo hid behind a concrete traffic island at a corner of the street to take photos,” she told me. “We thought at the time that we should just let the young people do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Staying silent became the theme of Wang’s most famous essay, “The Silent Majority.” He describes how during the Mao era people were silenced by the ubiquity of the great leader: his thoughts, his ideas, and his words rained down on people day and night. Later, that left a scar, which for Wang meant that he “could not trust those who belonged to the societies of speech.” The struggle to find a voice became a personal quest and an allegory for the whole nation’s trauma during the Mao 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what drew Wang to homosexuals in China. Disadvantaged groups were silent groups. They had been deprived of a voice, and society ignored them, sometimes even denying their existence. Then Wang had an epiphany—that all of Chinese society was voiceless: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Later, I had another sudden realization: that I belonged to the greatest disadvantaged group in history, the silent majority. These people keep silent for any number of reasons, some because they lack the ability or the opportunity to speak, others because they are hiding something, and still others because they feel, for whatever reason, a certain distaste for the world of speech. I am one of these last groups and, as one of them, I have a duty to speak of what I have seen and heard.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Wang’s most prominent chronicler in the West, Sebastian Veg at the School of Advanced Studies in Social Sciences in Paris, believes that he was shocked by the 1989 massacre and his own failure to support the protesters. At the same time, he was searching for a new way for people to change society that went beyond protests and marches. Finally, he had something that needed to be said. In 1992 Wang finished The Golden Age, which he had been working on since returning from Yunnan in 1972. Unsure how to publish it, he sent a copy to Professor Hsu in Pittsburgh. Hsu sent it to United Daily News, a prominent Chinese-language newspaper in Taiwan that sponsored a literary prize. Wang won and entered what he called a “yammering madhouse”—the world of speech.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Wang was the second son in his family, or er—number two—a name he gave most of his heroes: Wang Er. In The Golden Age, Wang Er is a twenty-one-year-old sent to Yunnan, where he meets Chen Qingyang, a twenty-six-year-old doctor whose husband has been in prison for a year. Gossips accuse Chen of being “damaged goods”—of having cheated on her husband with Wang—and she asks him to vouch for the fact that they haven’t slept together. Parodying the logical formulas of Wang Xiaobo’s father, Wang Er tells Chen: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would have to prove two things first before our innocence could be established: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Chen Qingyang was a virgin;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 Castrated at birth, I was unable to have sex.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two things would be hard to prove, so we couldn’t prove our innocence. I preferred to prove our guilt.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Eventually the couple have an affair and retreat to the mountains. They are later rounded up and “struggled against”—put on a stage and forced to reenact their sins. But instead of humiliation, Chen feels only that this is an acting challenge. And when they are forced to confess their sins in writing, both tell the most absurd stories of their sexploits, seeing the punishment as a literary exercise. When freed of this state bullying, the couple make love in their room—a true emotional act that the party couldn’t control.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experience makes Wang Er realize that society is nothing more than a series of power relationships. In the village, he notes, locals didn’t just castrate bulls, they also hammered their testicles into a pulp to make sure the bulls got the message. After that, he says, even the feistiest bull was a docile beast of burden.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Only much later did I realize that life is a slow process of being hammered. People grow old day after day, their desire disappears little by little, and finally they become like those hammered bulls.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message of control is reflected in Wang’s other fictional works. As part of The Trilogy of the Ages, The Golden Age is a novella sandwiched between The Bronze Age, a series of curious stories set in the Tang dynasty (one of which has been recently translated by Eric Abrahamsen as “Mister Lover”) and The Silver Age, a series of futuristic dystopian stories in which social control is nearly perfected. This makes the Cultural Revolution merely a variation of the suffering that humans have endured in societies throughout the ages. Wang also set down his ideas in two collections of essays published in his lifetime: My Spiritual Homeland and The Silent Majority. Many of the pieces originally appeared in the edgy magazines and newspapers that used to exist in southern China and which over the past decade or so have been hammered into docility.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met Wang in 1996 because of a piece he had published in Orient, a magazine that had devoted a special edition to the thirtieth anniversary of the start of the Cultural Revolution. Wang’s essay analyzed periods of unreason in history and the thinkers who resisted: Galileo challenging the doctrines of Rome; the Austrian writer Stefan Zweig opposing the Nazis; and the Chinese writer Lao She opposing Maoist excesses. But Wang didn’t stop there. He also pointed out parallels to the China of the 1990s (and, in effect, today) by writing about the rise of nationalism.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our first meeting, in a hotel near his apartment, he showed up disheveled, wearing a Hawaiian shirt that made him look like a Hong Kong businessman on a weekend fling. He had a big sideways grin and a mop of hair combed over rakishly. He talked garrulously for a couple of hours, and later we went home to meet his wife and play with his computer.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of his biggest complaints then was a book called China Can Say No, a collection of polemical essays by a half-dozen young writers fed up with the United States and its perceived bullying of China. The writers ranted against Hollywood, Boeing jets, and other reminders that China was inextricably bound to the outside world. Wang thought the book was rubbish, written by opportunists. “People of my age had miserable experiences. We have seen the dark side of things,” he told me. “But today’s young people may not be aware of it. [The writers] are sentimental and unreasonable, and that is why I dislike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Those young authors and most of their intellectual contemporaries committed what for Wang was a cardinal sin: they aspired to lead society rather than remain outside of it as independent critics. Wang said: “The maladies of Chinese society are mainly from autocracy and centralization of state power. In the Chinese cultural tradition, there is no sense of the people.”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About six months after we talked, Wang died. His friend the literary critic Ai Xiaoming2 carried out what she thought of as his last wish. The Trilogy of the Ages had been published just days earlier, which he hadn’t lived to see. She placed it on his body before it entered the crematorium’s furnace.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scope of Wang Xiaobo’s publications in those five frenetic years became apparent, Chinese critics became more appreciative. On the fifth anniversary of his death, the former culture minister Wang Meng wrote an article about Wang Xiaobo saying he had “lived a life of clarity.” The strong sales of his books didn’t hurt either. The Shanghai-based critic and literature professor Huang Ping told me that Wang now rivals the World War II–era Hong Kong writer Zhang Ailing (better known abroad as Eileen Chang) as the most popular modern Chinese author.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Wang had no sense of this in his lifetime, according to Li Yinhe. “There weren’t too many literature reviews of his works in the mainstream,” she said. “People just began to pay attention to his works and essays. We had no idea of his sales.”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Huang has a slightly contrarian explanation of Wang’s popularity. While government critics see him as a libertarian, he can also be read as someone whose irony and sarcasm exonerates middle-class Chinese from responsibility for social problems. Huang said that “instead of explaining how to overcome the issues, [Wang] tells you by his ironic tone that the issues have nothing to do with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could be one reason why Wang’s works are in print in China—their humor and sarcasm can be seen as putting distance between then and now, in essence absolving today’s Communist Party for its sins of half a century earlier. And yet his books don’t read as if he were a practitioner of what Perry Link calls “daft hilarity”—a use of humor to avoid social criticism. In his fiction, the system and the officials are clearly misguided. His essays are also sharply critical of issues like nationalism. His support for marginalized members of society is now common among Chinese intellectuals in the post-Tiananmen era. People like Ai Xiaoming turned to filmmaking, along with independent filmmakers like Hu Jie and Wu Wenguang, to document victims of the Anti-Rightist Movement and the Cultural Revolution. And Li Yinhe became an advocate for the LGBT movement, eventually coming out herself as having a transgender partner.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abroad that Wang is little known. Only three short works, including The Golden Age and the story “2015” from The Silver Age, are in print in English, published in one volume with the silly title Wang in Love and Bondage.3 The cover is a disaster, showing a drawing, reminiscent of a 1940s American crime novel, of a man and woman in a cheap hotel room after a tryst. Two other essays are available online, but about 90 percent of his work is untranslated—a strange oversight when publishers are often searching (seemingly desperately, given what sometimes gets translated) to find Chinese voices to explain the country’s rise.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David Der-wei Wang, a professor of Chinese literature at Harvard University, said the lack of translation can’t be due to Wang’s work being difficult to read. Besides including Wang Xiaobo in his New Literary History of Modern China (2017), Professor Wang regularly teaches Wang Xiaobo in literature classes to non–China specialists. “They really like it—the style, the story, the laughter and the melancholia, even though they didn’t know who this person was or what the Cultural Revolution was all about,” Wang told me. “These are issues that speak to a worldwide audience.”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anniversary of Wang Xiaobo’s death this past April, some of China’s best-known literary critics met to discuss his works, while his widow and a half-dozen of his fans made a pilgrimage to his grave on the outskirts of Beijing. There they spilled a bottle of his favorite grain alcohol in his honor and read poems. The group had made commemorative T-shirts for the day, with Wang’s face and the dates 1952–1997 on the front. “To me, it was never easy to encounter a romantic love,” Li said as she walked up the steep path. “He was the trigger to it. It felt great.”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Following Li was Zhang Linlin, a thirty-year-old high school history teacher. Zhang regularly introduces his students to Wang Xiaobo. He said they are drawn to Wang’s works for the sex but stay for the ideas and the social criticism. For Zhang, Wang has become something more important than a favorite author—a guidepost, his principled and thoughtful life an inspiration for his own. “When Nietzsche was in trouble, he’d find a portrait of Schopenhauer and shout, ‘Save me, Schopenhauer,’” Zhang said. “I hold a portrait of Wang Xiaobo and think about what he would do. He shows me the direction. He is a perfect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my interview with her, “Sex in China,” NYR Daily, September 9, 2014.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Interviewed in “The People in Retreat,” NYR Daily, September 8, 2016.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Translated and with an introduction by Hongling Zhang and Jason Sommer (SUNY Press, 2007).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