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Reading for Oct 1 2017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What Are Impeachable Offenses?</w:t>
      </w:r>
    </w:p>
    <w:p w:rsidR="00000000" w:rsidDel="00000000" w:rsidP="00000000" w:rsidRDefault="00000000" w:rsidRPr="00000000">
      <w:pPr>
        <w:contextualSpacing w:val="0"/>
        <w:rPr/>
      </w:pPr>
      <w:r w:rsidDel="00000000" w:rsidR="00000000" w:rsidRPr="00000000">
        <w:rPr>
          <w:rtl w:val="0"/>
        </w:rPr>
        <w:t xml:space="preserve">Noah Feldman and Jacob Weisberg SEPTEMBER 28, 2017 ISSUE</w:t>
      </w:r>
    </w:p>
    <w:p w:rsidR="00000000" w:rsidDel="00000000" w:rsidP="00000000" w:rsidRDefault="00000000" w:rsidRPr="00000000">
      <w:pPr>
        <w:contextualSpacing w:val="0"/>
        <w:rPr/>
      </w:pPr>
      <w:r w:rsidDel="00000000" w:rsidR="00000000" w:rsidRPr="00000000">
        <w:rPr>
          <w:rtl w:val="0"/>
        </w:rPr>
        <w:t xml:space="preserve">The Case for Impeachment</w:t>
      </w:r>
    </w:p>
    <w:p w:rsidR="00000000" w:rsidDel="00000000" w:rsidP="00000000" w:rsidRDefault="00000000" w:rsidRPr="00000000">
      <w:pPr>
        <w:contextualSpacing w:val="0"/>
        <w:rPr/>
      </w:pPr>
      <w:r w:rsidDel="00000000" w:rsidR="00000000" w:rsidRPr="00000000">
        <w:rPr>
          <w:rtl w:val="0"/>
        </w:rPr>
        <w:t xml:space="preserve">by Allan J. Lichtman</w:t>
      </w:r>
    </w:p>
    <w:p w:rsidR="00000000" w:rsidDel="00000000" w:rsidP="00000000" w:rsidRDefault="00000000" w:rsidRPr="00000000">
      <w:pPr>
        <w:contextualSpacing w:val="0"/>
        <w:rPr/>
      </w:pPr>
      <w:r w:rsidDel="00000000" w:rsidR="00000000" w:rsidRPr="00000000">
        <w:rPr>
          <w:rtl w:val="0"/>
        </w:rPr>
        <w:t xml:space="preserve">William Morrow/Dey St., 290 pp., $24.99</w:t>
      </w:r>
    </w:p>
    <w:p w:rsidR="00000000" w:rsidDel="00000000" w:rsidP="00000000" w:rsidRDefault="00000000" w:rsidRPr="00000000">
      <w:pPr>
        <w:contextualSpacing w:val="0"/>
        <w:rPr/>
      </w:pPr>
      <w:r w:rsidDel="00000000" w:rsidR="00000000" w:rsidRPr="00000000">
        <w:rPr>
          <w:rtl w:val="0"/>
        </w:rPr>
        <w:t xml:space="preserve">Impeachment: A Citizen’s Guide</w:t>
      </w:r>
    </w:p>
    <w:p w:rsidR="00000000" w:rsidDel="00000000" w:rsidP="00000000" w:rsidRDefault="00000000" w:rsidRPr="00000000">
      <w:pPr>
        <w:contextualSpacing w:val="0"/>
        <w:rPr/>
      </w:pPr>
      <w:r w:rsidDel="00000000" w:rsidR="00000000" w:rsidRPr="00000000">
        <w:rPr>
          <w:rtl w:val="0"/>
        </w:rPr>
        <w:t xml:space="preserve">by Cass R. Sunstein</w:t>
      </w:r>
    </w:p>
    <w:p w:rsidR="00000000" w:rsidDel="00000000" w:rsidP="00000000" w:rsidRDefault="00000000" w:rsidRPr="00000000">
      <w:pPr>
        <w:contextualSpacing w:val="0"/>
        <w:rPr/>
      </w:pPr>
      <w:r w:rsidDel="00000000" w:rsidR="00000000" w:rsidRPr="00000000">
        <w:rPr>
          <w:rtl w:val="0"/>
        </w:rPr>
        <w:t xml:space="preserve">Harvard University Press, 199 pp., $7.95 (paper) (to be published on October 2)</w:t>
      </w:r>
    </w:p>
    <w:p w:rsidR="00000000" w:rsidDel="00000000" w:rsidP="00000000" w:rsidRDefault="00000000" w:rsidRPr="00000000">
      <w:pPr>
        <w:contextualSpacing w:val="0"/>
        <w:rPr/>
      </w:pPr>
      <w:r w:rsidDel="00000000" w:rsidR="00000000" w:rsidRPr="00000000">
        <w:rPr>
          <w:rtl w:val="0"/>
        </w:rPr>
        <w:t xml:space="preserve">1.</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 more and more evidence of collusion between Donald Trump’s presidential campaign and Russia has come to light, the analogy to Watergate has grown ever stronger. In both cases, a burglary of the Democratic National Committee, undertaken to influence the outcome of an election, ignited a burgeoning scandal. Trump’s firing of FBI Director James Comey and warnings to Special Prosecutor Robert Mueller conjure President Nixon’s Saturday Night Massacre. Trump echoes Nixon in raging against leaks and decrying the investigation of his office as a “witch hunt.” There was brief excitement about Trump’s suggestion that he too might have a presidential taping system (though this seems to have been only a bluff).</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Donald Trump</w:t>
      </w:r>
    </w:p>
    <w:p w:rsidR="00000000" w:rsidDel="00000000" w:rsidP="00000000" w:rsidRDefault="00000000" w:rsidRPr="00000000">
      <w:pPr>
        <w:contextualSpacing w:val="0"/>
        <w:rPr/>
      </w:pPr>
      <w:r w:rsidDel="00000000" w:rsidR="00000000" w:rsidRPr="00000000">
        <w:rPr>
          <w:rtl w:val="0"/>
        </w:rPr>
        <w:t xml:space="preserve">Donald Trump; drawing by John Springs</w:t>
      </w:r>
    </w:p>
    <w:p w:rsidR="00000000" w:rsidDel="00000000" w:rsidP="00000000" w:rsidRDefault="00000000" w:rsidRPr="00000000">
      <w:pPr>
        <w:contextualSpacing w:val="0"/>
        <w:rPr/>
      </w:pPr>
      <w:r w:rsidDel="00000000" w:rsidR="00000000" w:rsidRPr="00000000">
        <w:rPr>
          <w:rtl w:val="0"/>
        </w:rPr>
        <w:t xml:space="preserve">Our lexicon for political scandal derives largely from Watergate, so it is almost impossible to discuss executive branch misdeeds without referring to it. Phrases like “It’s not the crime, it’s the cover-up” and “What did the President know and when did he know it?” are embedded in our national consciousness. We all know where the Watergate comparison leads, of course: to constitutional crisis and impeachment, the fate Nixon evaded only by his resignation. It is comforting to Trump’s opponents to think of this outcome as inevitable, but of course it is not. Whether or not it is “worse than Watergate,” the Trump-Russia scandal differs from it in ways that bear directly on how impeachment might serve as a remedy today.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Because it has been used so rarely, and because it is a power entrusted to Congress, not the courts, impeachment as a legal process is poorly understood. There are no judicial opinions that create precedents for how and when to proceed with it. Past cases are subject to competing and often contradictory interpretations. Some might even be tempted to argue that because impeachment is ultimately political, it cannot be considered in legal terms at all.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That extreme view cannot be right. Impeachment must be a legal procedure because it derives from specific constitutional directives. The impeachment clauses of the Constitution are subject to interpretation, like all language, legal or otherwise, but they function as law. Members of Congress have a sworn legal duty to apply the Constitution correctly—including when they are considering impeachment. Calling for the impeachment of Supreme Court Justice William O. Douglas in 1970, then Congressman Gerald Ford asserted that “an impeachable offense is whatever a majority of the House of Representatives considers it to be at a given moment in history.” That statement ought to be taken as a description of political reality, not a prescription that Congress may choose to treat any conduct as impeachable.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legal limits of the impeachment power are subject to debate.1 Yet it is clear both historically and logically that impeachment was designed to deal with abuses committed while in office, not prior crimes. Any wrongdoing of Trump’s before he assumed the presidency must be considered separately from offenses he may have committed in office. The former, however serious it might be, is not a basis for impeachment; and the president is presumptively protected from prosecution by presidential immunity until he leaves the White House.2</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Between this before-and-after division lies an unexplored gray area: Can a president be impeached for attempting to steal an election while he was not yet in office? On the one hand, actions taken by a candidate are not technically an abuse of an office that he does not yet hold. On the other hand, crimes committed in pursuit of the presidency could count as “high” in the sense that they are connected to the presidency even if they are not committed in office.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decision would lie with Congress, which could simply reject the distinction. The problem did not arise in Nixon’s case, because his dirty tricks (including the Watergate break-in) took place while he was in office, running for a second term. It is probably safest to assume that if Trump colluded with Russia during the 2016 election, that would not qualify as a high crime or misdemeanor. Nevertheless, he would be impeachable for any official acts during his presidency resulting from the distortion of the electoral process—such as obstruction of justice or payback to Russia. In his case, far more than Nixon’s, the issue really is the cover-up, not the crime.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Observing such legal niceties is crucial in thinking about removing a president for undermining the rule of law. Yet Ford was accurate in describing the decision to impeach as inherently political. The question of whether proceedings to remove Donald Trump begin in the House before the 2018 midterm elections does not fundamentally depend on the seriousness of the charges or the president’s offenses. It depends on whether some group of Republican members of Congress is prepared to break ranks and support the process—something that did not occur until the later stages of Watergate. If that does not happen, the question of whether impeachment moves forward will likely depend on whether Democrats regain control of the House in 2019.</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2.</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Allan Lichtman tells us in The Case for Impeachment that nearly alone among political pundits, he foresaw victory for Donald Trump. After he won, Trump sent a note to congratulate him on his forecast, but did not mention what Lichtman considers to be his other big prediction: that Trump would be impeached before his term was up. This was based on what Lichtman calls a “deep analysis of Trump’s past and proven behavior.” In short, it was realistic to assume that Trump would not change, that he would continue to break laws and thereby put himself at risk of impeachment.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Lichtman dismisses the crucial distinction between offenses committed before and after inauguration, citing the doubtful authority of then Senator Jeff Sessions of Alabama in the impeachment hearings against a Louisiana federal judge, G. Thomas Porteous, in 2010: “I do not believe that evidence of acts committed before confirmation should be withheld from consideration in the impeachment process.” That view allows him to focus extensively on Trump’s alleged crimes before taking office, starting with violations of the Fair Housing Act in his first job, which involved keeping black tenants out of his father’s segregated rental properties, and continuing through such by now well-known scandals as Trump’s noncharitable “foundation” and his noneducational “university.”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Yet the view that prepresidential offenses are impeachable is an outlier among both constitutional scholars and legislators. (Judges may be different from presidents, since past criminal activity could impinge on their ability to deliver justice fairly.) In the cases of Nixon and Bill Clinton, the House Judiciary Committee took care to frame articles of impeachment around acts that took place while they were in office.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Lichtman is wrong that collusion during the campaign between Trump and Russia could lead to impeachment for treason. He states flatly that Trump could even be impeached for failing to report treasonous conduct if it could be shown that he knew about collusion with Russia on the part of his aides. Treason is, of course, one of two offenses specified in the impeachment clause of the Constitution, along with bribery. But it is defined elsewhere in the Constitution as giving aid and comfort to a foreign power at war with the United States.3 Assuming that treason as an impeachable offense means the same as it does as a criminal offense, the president or any other official could be charged with it only during a state of war.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Brian Snyder/Reuters</w:t>
      </w:r>
    </w:p>
    <w:p w:rsidR="00000000" w:rsidDel="00000000" w:rsidP="00000000" w:rsidRDefault="00000000" w:rsidRPr="00000000">
      <w:pPr>
        <w:contextualSpacing w:val="0"/>
        <w:rPr/>
      </w:pPr>
      <w:r w:rsidDel="00000000" w:rsidR="00000000" w:rsidRPr="00000000">
        <w:rPr>
          <w:rtl w:val="0"/>
        </w:rPr>
        <w:t xml:space="preserve">Donald Trump with Arizona sheriff Joe Arpaio at a campaign rally in Iowa, January 2016</w:t>
      </w:r>
    </w:p>
    <w:p w:rsidR="00000000" w:rsidDel="00000000" w:rsidP="00000000" w:rsidRDefault="00000000" w:rsidRPr="00000000">
      <w:pPr>
        <w:contextualSpacing w:val="0"/>
        <w:rPr/>
      </w:pPr>
      <w:r w:rsidDel="00000000" w:rsidR="00000000" w:rsidRPr="00000000">
        <w:rPr>
          <w:rtl w:val="0"/>
        </w:rPr>
        <w:t xml:space="preserve">When he proposes articles of impeachment for Donald Trump, Lichtman overreaches further, classifying conduct as impeachable when it is not an abuse of power but an act or policy he considers bad and dangerous. He devotes a chapter to the claim that Trump’s lies, including lies before taking office, are grounds for impeachment. Another chapter argues that Trump’s “war on women,” including his alleged misogynist conduct, is impeachable.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Most strikingly, Lichtman asserts that Trump’s policy on climate change is a “crime against humanity” worthy of impeachment. There would be no faster way to discredit the idea of impeachment legally and politically than by treating wrongheaded policy as a basis for it. At the Philadelphia convention, James Madison objected to a proposal that would have made “maladministration” sufficient grounds for impeachment. The term was “so vague,” he said, that it would be “equivalent to a tenure during pleasure of the Senate.” The long-term consequences of treating policy disagreements as grounds for impeachment are terrifying to contemplate for the stability of a presidential system of government.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far more cautious approach to the topic, one thoroughly grounded in constitutional history and past practice, may be found in Cass Sunstein’s excellent Impeachment: A Citizen’s Guide. Sunstein advocates a neutral, nonpolitical approach to impeachment, urging us to imagine ourselves behind a veil of ignorance, knowing nothing of the president’s policies but only of the actions for which he is to be impeached. In fulfillment of that goal, Sunstein says nothing directly about the current occupant of the office. The name “Donald Trump” does not appear in his book.</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Sunstein does provide twenty-one hypothetical cases, offering his view of whether impeachment would be appropriate for each. Some of these clearly refer to current events, such as one in which a “president is elected as a result of a secret plan with a nation that is unfriendly to the United States…. There is no quid pro quo, but the president’s election has unquestionably been facilitated by an explicit plan.” (Answer: yes to impeachment.) In another, “a president makes a host of erratic decisions, and they lead to domestic and international turmoil.” (Answer: yes, but only just.)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These intriguing cases—some of them very hard to judge—show the complexity of the impeachment question. They point the way to the kind of careful application of law to facts that is required to make a conscientious evaluation.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3.</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Are impeachment proceedings against Donald Trump warranted? Article II, Section 4 states: “The President, Vice President and all civil Officers of the United States, shall be removed from Office on Impeachment for, and Conviction of, Treason, Bribery, or other high Crimes and Misdemeanors.”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essential terms and phrases here have historical meanings somewhat at variance with contemporary usage. The words “crimes” and “misdemeanors,” for example, do not distinguish acts of different gravity, as they do in criminal law, but were intended as synonyms. More important, the adjective “high” does not mean “very bad,” but rather that the crimes are committed by high government officials in the course of their duties. This was a standard English usage dating back at least to late medieval and early modern impeachments, and well understood by the Framers.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Crimes and misdemeanors are thus “high” when they relate to the president’s exercise of the distinctive duties of his office. They may be crimes in the sense that they are found in the statute books—but high crimes and misdemeanors may go beyond the US Code. High crimes and misdemeanors are presidential actions that contradict, undermine, and derogate democracy and the rule of law. They are actions that weaken the liberty and equality of individuals and the capacities of other branches of government.4 The jurisdiction of impeachment, Alexander Hamilton wrote in Federalist No. 65, covers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offenses which proceed from the misconduct of public men, or, in other words, from the abuse or violation of some public trust. They are of a nature which may with peculiar propriety be denominated POLITICAL, as they relate chiefly to injuries done immediately to the society itself.</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definition offers support for impeachment proceedings against Andrew Johnson in 1868 and Richard Nixon in 1974. Hamilton’s exegesis offers less support for the impeachment of Bill Clinton in 1998. Clinton was impeached for providing false testimony while in office to a grand jury about his sexual relationship with Monica Lewinsky and thereby obstructing justice in relation to a civil suit from Paula Jones. Conceivably it could be maintained that the affair with Lewinsky was an abuse of the presidential office, and that the false testimony was therefore an impeachable offense. But the better reading is that the charges were essentially for private conduct that did not implicitly harm “society”—which was a large part of the reason Clinton was acquitted by the Senate.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What might constitutionally grounded articles of impeachment against Donald Trump look like? The most clear-cut one would be based on public corruption, including conflicts of interest and receipt of foreign emoluments.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Believing—incorrectly—that the president “can’t have a conflict of interest,” Trump is using his office to enrich himself and members of his family. His “winter White House,” Mar-a-Lago, is a private club that he owns and that charges a $200,000 initiation fee for members to get access to him, his head-of-state guests, and his staff. Membership fees go as high as $350,000 at his Bedminster, New Jersey, golf club, where Trump spent his August vacation. One of his first acts as president was a directive reversing a 2015 decision by the Environmental Protection Agency under the Clean Water Act that would have significantly raised water costs at these and other golf courses in which he has invested more than $1 billion over the past ten years.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Trump has provided free advertising for properties he owns by visiting them on more than seventy-five days so far, approximately a third of the days he has been in office. Meanwhile, businesspeople from around the world are admitted to meetings in the Oval Office with the implicit possibility of present or future gain from dealings with his family’s businesses.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When foreign officials stay in a Trump hotel or partner with the company he still owns, they are also giving him an emolument—that is, a payment—in violation of Article I, Section 9, Clause 8 of the Constitution. The clause says that “no Person holding any Office of Profit or Trust under [the United States], shall, without the Consent of the Congress, accept of any present, Emolument, Office, or Title, of any kind whatever, from any King, Prince, or foreign State.” This archaic term represents a profound concern of the founders that, as Hamilton wrote in Federalist No. 22, “one of the weak sides of republics, among their numerous advantages, is that they afford too easy an inlet to foreign corruption.”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One of Trump’s lawyers, Sheri Dillon, has claimed an exemption from the emoluments clause for what she calls “fair value exchange.” In other words, if Trump doesn’t overcharge customers, the payment is not an emolument but simply part of a business transaction. No such exception appears in the Constitution, and the word “emolument” in the eighteenth century covered fees for services, not just gifts. But even if such an exception were to be read anachronistically into the word, evidence suggests that commercial exchanges with sitting heads of state necessarily reflect the value of political influence.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These kinds of conflicts are among the most routine and endemic forms of political corruption in many countries. In Italy, Silvio Berlusconi is estimated to have earned profits of more than a billion euros from his terms as prime minister; he did this by allowing his television network Mediaset to charge slightly more for advertising than its state-owned competitor, RAI.5 Trump is using his public office for private gain in a similar way. According to The Wall Street Journal, the Trump International Hotel in Washington, D.C., has raised its rates more than 50 percent in the months since he was elected, and now charges considerably more than comparable hotels.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any case, Trump has already received foreign emoluments that go beyond any fair exchange, including valuable intellectual property rights from the Chinese government for his business and his daughter’s—rights he was denied before he became president. Was this foreign emolument a reward for Trump dropping his initial hints at abandoning the US government’s long-standing one-China policy? Is Trump’s friendliness toward Philippine President Rodrigo Duterte related to his license to build a $150 million Trump Tower in Manila? Is his benign view of Recep Tayyip Erdoğan’s crackdown a consequence of his deals in Turkey?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There is no way to disentangle personal and public interest in these and other instances. The president’s unprecedented refusal to insulate himself from foreign payments undermines the integrity of his foreign policy, even if self-interest plays no part in his conscious decision-making. Trump could easily have avoided this pitfall by selling business assets and putting his wealth in a blind trust for the duration of his presidency, as his predecessors have done.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second plausible article of impeachment flows from Trump’s undermining democracy by covering up distortion of the electoral process and, potentially, rewarding a foreign state that interfered in it. Subverting the 1972 election and covering it up afterward was the core of the impeachment case against Richard Nixon. Even if collusion during the campaign is not itself treated as impeachable, post-inaugural actions taken as a result of benefits received from Russian-orchestrated leaks would count as impeachable offenses. Trump’s efforts to obstruct justice or to compensate Vladimir Putin for helping him get elected would certainly fall into this category.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Evidence for this charge is not sufficient at present. But it continues to emerge on a daily basis, much of it provided by the president’s own tweets and interviews. Trump’s acknowledgment that he fired James Comey because he would not drop the FBI’s investigation of the Russia scandal is as close to a presidential confession of obstruction of justice as we are likely to see. Trump reportedly dictated his son’s misleading, incomplete statement about his meeting with a senior Russian lawyer and several other shadowy figures with intelligence connections to receive compromising information on Hillary Clinton. Pressure on Attorney General Jeff Sessions to resign for failing to act as a kind of personal lawyer to Trump and reports of efforts to undermine Special Counsel Robert Mueller point in the same direction. Ordering the firing of Mueller might be one of the few actions that would prompt members of the Republican Party to consider impeachment.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third impeachment article, less clear-cut than the first two, could be based on Trump’s systematic attacks on democratic process and institutions. This would include his refusal to discharge obligations of his office while attacking the constitutional separation of powers.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Constitutional disobedience was at the center of the impeachment case against Andrew Johnson. In defiance of his constitutional duty to execute the laws, Johnson was intentionally failing to enforce the laws that were supposed to guide Reconstruction—in particular the law designed to force the southern states to let African-Americans vote and to ratify the Fourteenth Amendment. The Republican-controlled Congress, aiming to protect Abraham Lincoln’s holdover secretary of war, Edwin Stanton, enacted the Tenure-of-Office Act, which required legislative permission for the president to dismiss federal officials confirmed by the Senate. Anticipating possible disobedience by Johnson, the law announced that violating it would constitute a “high crime and misdemeanor.”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Tenure-of-Office Act, which interposed a legislative veto on the president’s Article II authority to dismiss government officials, was almost certainly an unconstitutional violation of the separation of powers. Johnson asserted as much in vetoing the bill, but Congress overrode the veto. Johnson then proceeded to fire Stanton, who locked himself in his office, claiming protection under the act. The House impeached Johnson, charging him with violating the law and, more forthrightly, with blocking ratification of the Fourteenth Amendment by failing to enforce Reconstruction. Johnson contended that he could not be impeached for failing to follow an unconstitutional law. The House impeachment managers rejoined that only the Supreme Court, not the president, could declare a valid law unconstitutional.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Johnson’s Senate acquittal, by a single vote, hinged in part on his assertion of his independent right to obey the Constitution. At the same time, the acquittal was the result of political compromise. Johnson withdrew his opposition to the Fourteenth Amendment, which was then ratified by the remaining southern states. The impeachment process therefore vindicated the principle of presidential fidelity to the law and the separation of powers—at least on one plausible reading.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Donald Trump’s pattern of challenging the independence of the judiciary was set during the campaign with his attacks on the judge handling the civil lawsuits against Trump University, whom he called “Mexican.” After Trump was sworn in, he attacked a federal judge in Seattle who ruled against his travel ban as a “so-called judge.” In April, he threatened to “break up the 9th Circuit,” because of its ruling blocking his administration’s efforts to deny federal funding to sanctuary cities.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Trump’s pardon of Arizona sheriff Joe Arpaio on August 25 was an even more concrete manifestation of this disrespect for judicial independence and the rule of law. Arpaio had been convicted of criminal contempt for willfully violating a federal court order to cease unconstitutional detention of suspected undocumented immigrants. By pardoning him, Trump not only signaled his approval of an elected public official openly flouting the Constitution. He thwarted the judiciary’s authority to say what the law is and to enforce its judgments. The pardon, though formally within Trump’s executive authority, in fact undercut the very constitutional structure that creates presidential power in the first place.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Such challenges to judicial independence cannot be dismissed as mere expressions of pique. They are an important feature of rising authoritarianism in Poland, Turkey, and elsewhere. The same is true of attacks on freedom of the press and Trump’s attempts to constrain the First Amendment. Declaring the press “the enemy of the people,” Trump has unlawfully excluded media outlets he dislikes such as CNN and The New York Times from official briefings. That violates the constitutional mandate that the government treat the press neutrally regardless of its viewpoint. Members of his administration have pressured Time Warner, CNN’s parent company, to fire journalists—another classic strategy for destruction of media freedom in places like Turkey, Russia, and Venezuela.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These are not the only possible articles of impeachment. Another is defamation—starting with a tweet in which Trump falsely accused Barack Obama of tapping his phones. Because presidents while in office are immune from civil lawsuits regarding their official acts, impeachment is the only immediate remedy for a president who makes unsupported charges of criminality against his predecessor. Trump also made defamatory attacks on James Comey in a recent New York Times interview, accusing Comey of lying to Congress under oath and of attempting to blackmail him by threatening to expose the dossier on him prepared before the election by a former MI6 officer.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Finally, there are offenses Trump has proposed committing but has not yet committed. In addition to the possibility of dismissing Mueller, he has suggested that he might preemptively pardon aides or relatives. If such pardons were issued in order to protect Trump himself, they would amount to a clear effort to obstruct justice. Unlike a self-pardon, which would be ineffectual because no judge would regard it as valid, pardons of others would almost certainly be respected by the courts. The proper remedy for abuse of the pardon power is impeachment—as Madison specifically pointed out at the Virginia ratifying convention.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It is striking how much of the evidence supporting the case for Trump’s impeachment comes from his own words: not testimony under oath or subpoena, but admissions he has volunteered. While hardly truthful by nature, Trump finds it hard to suppress a streak of candor about his own motives. Lichtman cites Nixon’s advice to Ronald Reagan, offered by letter during the Iran-contra scandal: “Don’t ever comment on the Iran–Contra matter again. Have instructions issued to all White House staffers and Administration spokesmen that they must never answer any question on or off the record about that issue in the future.” This would be equally good advice for Donald Trump, were he capable of taking 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—August 30, 2017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Letters</w:t>
      </w:r>
    </w:p>
    <w:p w:rsidR="00000000" w:rsidDel="00000000" w:rsidP="00000000" w:rsidRDefault="00000000" w:rsidRPr="00000000">
      <w:pPr>
        <w:contextualSpacing w:val="0"/>
        <w:rPr/>
      </w:pPr>
      <w:r w:rsidDel="00000000" w:rsidR="00000000" w:rsidRPr="00000000">
        <w:rPr>
          <w:rtl w:val="0"/>
        </w:rPr>
        <w:t xml:space="preserve">Impeachment? September 21, 2017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1</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Two books published in the 1970s by important constitutional law professors address these issues in detail: Charles L. Black, Impeachment: A Handbook (Yale University Press, 1974), parts of which are available online at lawfareblog.com/impeachable-offense; and Raoul Berger, Impeachment: The Constitutional Problems (Harvard University Press, 1973). Black wrote with Nixon in mind; Berger was inspired to write by the attempted impeachment of Douglas in 1970.  ↩</w:t>
      </w:r>
    </w:p>
    <w:p w:rsidR="00000000" w:rsidDel="00000000" w:rsidP="00000000" w:rsidRDefault="00000000" w:rsidRPr="00000000">
      <w:pPr>
        <w:contextualSpacing w:val="0"/>
        <w:rPr/>
      </w:pPr>
      <w:r w:rsidDel="00000000" w:rsidR="00000000" w:rsidRPr="00000000">
        <w:rPr>
          <w:rtl w:val="0"/>
        </w:rPr>
        <w:t xml:space="preserve">2</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The Supreme Court has never definitively held that a sitting president could not be indicted, and indeed a memorandum written for independent prosecutor Kenneth Starr argued to the contrary. (See Charlie Savage, “Can the President Be Indicted? A Long-Hidden Legal Memo Says Yes,” The New York Times, July 22, 2017.) But most scholars agree that the presidency would be improperly hamstrung by a criminal charge, which could in theory even lead to the president being incarcerated. ↩</w:t>
      </w:r>
    </w:p>
    <w:p w:rsidR="00000000" w:rsidDel="00000000" w:rsidP="00000000" w:rsidRDefault="00000000" w:rsidRPr="00000000">
      <w:pPr>
        <w:contextualSpacing w:val="0"/>
        <w:rPr/>
      </w:pPr>
      <w:r w:rsidDel="00000000" w:rsidR="00000000" w:rsidRPr="00000000">
        <w:rPr>
          <w:rtl w:val="0"/>
        </w:rPr>
        <w:t xml:space="preserve">3</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Article III, Section 3: “Treason against the United States, shall consist only in levying War against them, or in adhering to their Enemies, giving them Aid and Comfort. No Person shall be convicted of Treason unless on the Testimony of two Witnesses to the same overt Act, or on Confession in open Court.” ↩</w:t>
      </w:r>
    </w:p>
    <w:p w:rsidR="00000000" w:rsidDel="00000000" w:rsidP="00000000" w:rsidRDefault="00000000" w:rsidRPr="00000000">
      <w:pPr>
        <w:contextualSpacing w:val="0"/>
        <w:rPr/>
      </w:pPr>
      <w:r w:rsidDel="00000000" w:rsidR="00000000" w:rsidRPr="00000000">
        <w:rPr>
          <w:rtl w:val="0"/>
        </w:rPr>
        <w:t xml:space="preserve">4</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There was a highly technical debate in the 1970s between Raoul Berger and the historian Clayton Roberts over whether high crimes and misdemeanors in Stuart England had to be acts already understood as unlawful under some legal source or could be purely political acts. See Clayton Roberts, “The Law of Impeachment in Stuart England: A Reply to Raoul Berger,” The Yale Law Journal, Vol. 84, No. 7, p. 1419 (June 1975). The two agreed, however, that high crimes and misdemeanors did not have to be statutory or common-law crimes. And both acknowledged that the House of Commons frequently impeached politicians for acts not otherwise criminal. Roberts argued that such impeachments were not accepted by the House of Lords. ↩</w:t>
      </w:r>
    </w:p>
    <w:p w:rsidR="00000000" w:rsidDel="00000000" w:rsidP="00000000" w:rsidRDefault="00000000" w:rsidRPr="00000000">
      <w:pPr>
        <w:contextualSpacing w:val="0"/>
        <w:rPr/>
      </w:pPr>
      <w:r w:rsidDel="00000000" w:rsidR="00000000" w:rsidRPr="00000000">
        <w:rPr>
          <w:rtl w:val="0"/>
        </w:rPr>
        <w:t xml:space="preserve">5</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Stefano DellaVigna, Ruben Durante, Brian Knight, and Eliana La Ferrara, “Market-Based Lobbying: Evidence from Advertising Spending in Italy,” NBER Working Paper No. 19766, December 2013.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Poet of Freakiness</w:t>
      </w:r>
    </w:p>
    <w:p w:rsidR="00000000" w:rsidDel="00000000" w:rsidP="00000000" w:rsidRDefault="00000000" w:rsidRPr="00000000">
      <w:pPr>
        <w:contextualSpacing w:val="0"/>
        <w:rPr/>
      </w:pPr>
      <w:r w:rsidDel="00000000" w:rsidR="00000000" w:rsidRPr="00000000">
        <w:rPr>
          <w:rtl w:val="0"/>
        </w:rPr>
        <w:t xml:space="preserve">Joyce Carol Oates SEPTEMBER 28, 2017 ISSUE</w:t>
      </w:r>
    </w:p>
    <w:p w:rsidR="00000000" w:rsidDel="00000000" w:rsidP="00000000" w:rsidRDefault="00000000" w:rsidRPr="00000000">
      <w:pPr>
        <w:contextualSpacing w:val="0"/>
        <w:rPr/>
      </w:pPr>
      <w:r w:rsidDel="00000000" w:rsidR="00000000" w:rsidRPr="00000000">
        <w:rPr>
          <w:rtl w:val="0"/>
        </w:rPr>
        <w:t xml:space="preserve">Stories, Plays and Other Writings</w:t>
      </w:r>
    </w:p>
    <w:p w:rsidR="00000000" w:rsidDel="00000000" w:rsidP="00000000" w:rsidRDefault="00000000" w:rsidRPr="00000000">
      <w:pPr>
        <w:contextualSpacing w:val="0"/>
        <w:rPr/>
      </w:pPr>
      <w:r w:rsidDel="00000000" w:rsidR="00000000" w:rsidRPr="00000000">
        <w:rPr>
          <w:rtl w:val="0"/>
        </w:rPr>
        <w:t xml:space="preserve">by Carson McCullers, edited by Carlos L. Dews</w:t>
      </w:r>
    </w:p>
    <w:p w:rsidR="00000000" w:rsidDel="00000000" w:rsidP="00000000" w:rsidRDefault="00000000" w:rsidRPr="00000000">
      <w:pPr>
        <w:contextualSpacing w:val="0"/>
        <w:rPr/>
      </w:pPr>
      <w:r w:rsidDel="00000000" w:rsidR="00000000" w:rsidRPr="00000000">
        <w:rPr>
          <w:rtl w:val="0"/>
        </w:rPr>
        <w:t xml:space="preserve">Library of America, 667 pp., $40.00</w:t>
      </w:r>
    </w:p>
    <w:p w:rsidR="00000000" w:rsidDel="00000000" w:rsidP="00000000" w:rsidRDefault="00000000" w:rsidRPr="00000000">
      <w:pPr>
        <w:contextualSpacing w:val="0"/>
        <w:rPr/>
      </w:pPr>
      <w:r w:rsidDel="00000000" w:rsidR="00000000" w:rsidRPr="00000000">
        <w:rPr>
          <w:rtl w:val="0"/>
        </w:rPr>
        <w:t xml:space="preserve">Complete Novels</w:t>
      </w:r>
    </w:p>
    <w:p w:rsidR="00000000" w:rsidDel="00000000" w:rsidP="00000000" w:rsidRDefault="00000000" w:rsidRPr="00000000">
      <w:pPr>
        <w:contextualSpacing w:val="0"/>
        <w:rPr/>
      </w:pPr>
      <w:r w:rsidDel="00000000" w:rsidR="00000000" w:rsidRPr="00000000">
        <w:rPr>
          <w:rtl w:val="0"/>
        </w:rPr>
        <w:t xml:space="preserve">by Carson McCullers, edited by Carlos L. Dews</w:t>
      </w:r>
    </w:p>
    <w:p w:rsidR="00000000" w:rsidDel="00000000" w:rsidP="00000000" w:rsidRDefault="00000000" w:rsidRPr="00000000">
      <w:pPr>
        <w:contextualSpacing w:val="0"/>
        <w:rPr/>
      </w:pPr>
      <w:r w:rsidDel="00000000" w:rsidR="00000000" w:rsidRPr="00000000">
        <w:rPr>
          <w:rtl w:val="0"/>
        </w:rPr>
        <w:t xml:space="preserve">Library of America, 827 pp., $35.00</w:t>
      </w:r>
    </w:p>
    <w:p w:rsidR="00000000" w:rsidDel="00000000" w:rsidP="00000000" w:rsidRDefault="00000000" w:rsidRPr="00000000">
      <w:pPr>
        <w:contextualSpacing w:val="0"/>
        <w:rPr/>
      </w:pPr>
      <w:r w:rsidDel="00000000" w:rsidR="00000000" w:rsidRPr="00000000">
        <w:rPr>
          <w:rtl w:val="0"/>
        </w:rPr>
        <w:t xml:space="preserve">The Lonely Hunter: A Biography of Carson McCullers</w:t>
      </w:r>
    </w:p>
    <w:p w:rsidR="00000000" w:rsidDel="00000000" w:rsidP="00000000" w:rsidRDefault="00000000" w:rsidRPr="00000000">
      <w:pPr>
        <w:contextualSpacing w:val="0"/>
        <w:rPr/>
      </w:pPr>
      <w:r w:rsidDel="00000000" w:rsidR="00000000" w:rsidRPr="00000000">
        <w:rPr>
          <w:rtl w:val="0"/>
        </w:rPr>
        <w:t xml:space="preserve">by Virginia Spencer Carr, with a foreword by Tennessee Williams</w:t>
      </w:r>
    </w:p>
    <w:p w:rsidR="00000000" w:rsidDel="00000000" w:rsidP="00000000" w:rsidRDefault="00000000" w:rsidRPr="00000000">
      <w:pPr>
        <w:contextualSpacing w:val="0"/>
        <w:rPr/>
      </w:pPr>
      <w:r w:rsidDel="00000000" w:rsidR="00000000" w:rsidRPr="00000000">
        <w:rPr>
          <w:rtl w:val="0"/>
        </w:rPr>
        <w:t xml:space="preserve">University of Georgia Press, 600 pp., $39.95 (paper)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Magnum Photos</w:t>
      </w:r>
    </w:p>
    <w:p w:rsidR="00000000" w:rsidDel="00000000" w:rsidP="00000000" w:rsidRDefault="00000000" w:rsidRPr="00000000">
      <w:pPr>
        <w:contextualSpacing w:val="0"/>
        <w:rPr/>
      </w:pPr>
      <w:r w:rsidDel="00000000" w:rsidR="00000000" w:rsidRPr="00000000">
        <w:rPr>
          <w:rtl w:val="0"/>
        </w:rPr>
        <w:t xml:space="preserve">Carson McCullers, Nyack, New York, 1947; photograph by Henri Cartier-Bresson</w:t>
      </w:r>
    </w:p>
    <w:p w:rsidR="00000000" w:rsidDel="00000000" w:rsidP="00000000" w:rsidRDefault="00000000" w:rsidRPr="00000000">
      <w:pPr>
        <w:contextualSpacing w:val="0"/>
        <w:rPr/>
      </w:pPr>
      <w:r w:rsidDel="00000000" w:rsidR="00000000" w:rsidRPr="00000000">
        <w:rPr>
          <w:rtl w:val="0"/>
        </w:rPr>
        <w:t xml:space="preserve">Too readily classified, or dismissed, as a Southern Gothicist, Carson McCullers (1917–1967) is one of the most radical writers of the American mid-twentieth century. Among, for instance, her female contemporaries, a remarkable gathering that includes Jean Stafford, Mary McCarthy, Eudora Welty, Harper Lee, Flannery O’Connor, and Shirley Jackson, it is McCullers who dared to take on sexual taboos, violated heterosexual conventions, and refused to punish her characters for their sexual deviancies. (Though her characters might be cruelly punished for other reasons.) A precocious writer, McCullers wrote several of her most moving short stories (“Sucker,” “Wunderkind”) in her late teens, having no idea how daring and subversive she was.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an era of fiction writing in which the height of sexual transgression might be an adulterous affair between heterosexual adults, as in blockbuster macho novels like James Jones’s From Here to Eternity, McCullers lavished intimate, warmly detailed attention upon what we now call same-sex relationships; with a passionate sympathy unmatched in twentieth-century American literature she explored the bisexual psyche not as seriocomic grotesquerie (as O’Connor might have done) or satirically (as McCarthy might have done), but as an altogether natural bond—“a joint experience between two persons” as McCullers defines love in “The Ballad of the Sad Café.” The increasing attention given to transgender issues in recent years would have been an irresistible subject for her—to explore from the inside. Indeed, McCullers seemed to have identified with whatever is trans- in the human psyche, seeing it as the very fuel of desire: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[Captain Penderton’s] personality differed in some respects from the ordinary. He stood in a somewhat curious relation to the three fundaments of existence—life itself, sex, and death. Sexually the Captain obtained within himself a delicate balance between the male and female elements, with the susceptibilities of both the sexes and the active powers of neither…. He had a sad penchant for becoming enamoured of his wife’s lovers.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McCullers’s rebellion against sexual and gender constrictions, her particular contrariness, seems to have been nourished rather than stifled by the Victorian-era mores of her small-town southern background; she was born in Columbus, Georgia, and returned to her middle-class home, and her doting mother, for solace and comfort intermittently through her life. Unlike her younger contemporary Flannery O’Connor, who grew up in a small Georgia town and lived (as an invalid) with her mother for most of her adult life, McCullers spent as much time in the North as she could, in New York City and the writer’s colonies Yaddo and Bread Loaf; unlike O’Connor, who remained a devout, conservative Catholic with a puritanical distaste for sex, McCullers was inquisitive and open to experimentation, and married romantically young in 1937.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the posthumously published memoir Illumination and Night Glare, McCullers recalled her naive eighteen-year-old self from the vantage point of her late forties: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When I asked my mother about sex she asked me to come behind the holly tree and said with her sublime simplicity, “Sex, my darling, takes place where you sit down.” I was therefore forced to read sex textbooks, which made it seem so very dull, as well as incredible.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fact, there are no “sex” scenes in McCullers’s fiction, nor even passages of erotic intensity. There is plenty of passion but there are no characters whose passionate feelings for others are reciprocated. Transcribed with hallucinatory vividness are solitary introspective episodes in which an individual—a “lover”—fantasizes, often with mounting despair, about the “beloved.”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initial note is struck in The Heart Is a Lonely Hunter, published when McCullers was twenty-three and had been married for several years—indeed, the very title suggests isolation, aloneness. “In the town there were two mutes, and they were always together.” Though McCullers allegedly knew nothing about deaf-mute persons, she spins out of her imagination a parable-like tale conjoined with a more conventional coming-of-age novel centered upon the epicene Mick Kelly. Hunter is an evocative tragedy of adult dissociation linked, at times awkwardly, to a young adult novel that resists a happy ending: “There were these two things [Mick] could never believe. That Mister Singer had killed himself and was dead. And that she was grown and had to work at Woolworth’s.”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deaf-mute who is the focus of Mick Kelly’s admiration is named John Singer, a jeweler’s assistant who, in his silence, possesses a mysterious charisma; in Singer’s apparent placidity others in the small Georgia town find comfort as they confide in him. (Singer can read lips.) He is a Christ figure, perhaps. (It is even suggested by an observer that “Mr. Singer is a Jew…. I recognized his race the first time I saw him. From his eyes.”) But he is a savior who cannot save himself. It is his fatal obsession with his companion deaf-mute that destroys him—the secret he can’t confide even to his friend Mick Kelly that he is hopelessly in love with the obese, unattractive, seemingly mentally retarded Antonapoulous, who never reciprocates Singer’s feeling for him.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McCullers’s insistence upon portraying Antonapoulous as unworthy of Singer’s friendship, let alone his devotion, gives the novel a willful, perverse quality; if the reader is baffled by Singer’s devotion, it is possible that, like Christ, he loves without qualification and with infinite forgiveness. It is enough to love; one cannot expect to be loved in return. In the colorful clothes Singer has given him, Antonapoulous resembles an icon, a Buddha: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Antonapoulous was more enormous than [Singer] had remembered. The great pulpy folds of his abdomen showed beneath his silk pajamas. His head was immense against the white pillow. The placid composure of his face was so profound that he seemed hardly to be aware that Singer was with him.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When Antonapoulous dies of Bright’s disease Singer is stricken with grief and kills himself with a pistol, to the astonishment and sorrow of the townspeople.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Reflections in a Golden Eye is another tragic tale of obsessive and unrequited love set in a small Georgia town. McCullers’s more willfully grotesque and self-consciously Gothic second novel lacks the luminous voices of Hunter, as well as its verisimilitude; it is related in a curiously Olympian tone that makes little effort to be poetic and is often heavy with the irony of foreboding: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An army post in peacetime is a dull place. Things happen, but then they happen over and over again…. At the same time things do occasionally happen on an army post that are not likely to re-occur. There is a fort in the South where a few years ago a murder was committed. The participants of this tragedy were: two officers, a soldier, two women, a Filipino, and a horse.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“murder” is rather more an impulsive act of self-defense, when the distraught Captain Penderton discovers an enlisted man crouching by his wife’s bedside in the night; the enlisted man, Private Williams, has been mesmerized by the captain’s voluptuous wife and has stolen into their house numerous times simply to observe her sleeping: “He squatted in the moonlight, his eyes half-closed and a wet smile on his face.” (Of the wife, Lenora, the narrator says bluntly: “Like all very stupid people she had a predilection for the gruesome.”)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But the primary obsession of Reflections in a Golden Eye is that of Penderton himself with the young private, with whom he has had puzzling encounters that leave him frantic with an indefinable emotion. Penderton feels no desire for his wife but rather contempt and revulsion for her female physicality; he cannot acknowledge his desire for the young soldier. Private Williams is a taciturn young man who “did not smoke, drink, fornicate, or gamble,” a tabula rasa that McCullers tries to inscribe with meaning, to account for the deeply repressed homoerotic yearnings he has stirred in his superior officer. The novel’s most striking image is a vision the captain has as he sinks into a sleep induced by Seconal, an anticipation of</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unique and voluptuous sensation; it was as though a great dark bird alighted on his chest, looked at him once with fierce, golden eyes, and stealthily enfolded him in his dark wings.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“golden eye” would seem to be the all-seeing eye of fate, reflecting an individual’s deepest, unacknowledged desires.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Though it contains strongly written set pieces, including ecstatic descriptions of horseback-riding, Reflections in a Golden Eye is a curiously lifeless work of fiction, populated by zombie-like individuals who, on a US Army base, seem to have nothing to do but interact with one another in shrill melodramatic scenes. Virginia Spencer Carr’s excellent biography of McCullers tracks the young writer’s emotional instability at the time of the composition of this second novel, much of which was written at the Bread Loaf Writers’ Conference, itself a literary hotbed of unstable emotions. McCullers worried, with justification, that her second novel would be a disappointment to the many admirers of The Heart Is a Lonely Hunter; she could not seem to summon the inspiration she’d felt for Hunter, perhaps because Reflections was prompted by an anecdote she’d heard about a voyeur at a southern army base, and McCullers knew (and cared) little about the actual lives of military officers, in contrast to her familiarity with the townsfolk of Hunter.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By this time too McCullers, although still married, had fallen precipitously in love with a Swiss woman named Annmarie Clarac-Schwarzenbach, to whom Reflections is dedicated. Susceptible to sudden, ill-advised infatuations, including one with the coolly disdainful Katherine Ann Porter, McCullers appears to have been gratingly immature and self-absorbed; she was also drinking heavily in her early twenties, and would continue to abuse alcohol for the remainder of her life. It is impossible to determine if McCullers was naturally prone to illnesses (flu, pleurisy, infections, blinding headaches) or whether her drinking shortened her life. She would suffer her first stroke at twenty-four; her final, fatal stroke at fifty.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After the publication of Reflections, which received mixed reviews, McCullers immersed herself in another anecdotal tall tale told in an Olympian voice, perhaps her most idiosyncratic work of fiction—the novella “The Ballad of the Sad Café” (1951). Here, the impossible, obsessive love is that of the moonshiner Miss Amelia, “a powerful blunderbuss of a person more than six feet tall,” for her cousin Lymon, “a weakly little hunchback reaching only to her waist.” If there is something forced and arbitrary about Miss Amelia’s infatuation, which seems less probable even than that of John Singer for his mute, mentally retarded companion, McCullers explains: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Love is a joint experience between two persons—but the fact that it is a joint experience does not mean that it is a similar experience to the two people involved. There are the lover and the beloved, but these two come from different countries. Often the beloved is only a stimulus for all the stored-up love which has lain quiet within the lover for a long time hitherto. And somehow every lover knows this. He feels in his soul that his love is a solitary thing. He comes to know a new strange loneliness and it is this knowledge which makes him suffer. So there is only one thing for the lover to do. He must house his love within himself as best he can; he must create for himself a whole new inward world—a world intense and strange, complete in himself…. It is for this reason that most of us would rather love than be loved…. The beloved fears and hates the lover, and with the best of reasons. For the lover is forever trying to strip bare his beloved.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It’s as if “The Ballad of the Sad Café” is an illustration of McCullers’s notions about love rather than a work of art in itself.</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Handicapped by the detached all-knowing voice, the tale strains credulity; we lose our sympathy for Miss Amelia, who’d been at the outset a brave and audacious “freak” in her community but who becomes, in the end, a humbled and ridiculed figure when Lymon cruelly betrays her with her obtuse ex-husband Marvin Marcy. What might have been lyric tragedy becomes a sort of rural slapstick, ending abruptly with an ungenerous summary of life in the small southern town from which the hunchback has fled: “The soul rots with boredom.”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McCullers’s most fully realized and heartrending work of fiction is The Member of the Wedding (1946), published when the author was twenty-nine and at the height of her imaginative powers. This short lyrical novel is a masterpiece of American vernacular prose—a valentine to the loss of innocence and the resolve to survive that loss. Though saturated with the minutiae of small-town southern life in “the summer when Patton was chasing the Germans across France,” The Member of the Wedding is not sentimental but toughly realistic. The opening plunges us into the restive mind of the prepubescent Frankie Addams: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It happened that green and crazy summer when Frankie was twelve years old…. She belonged to no club and was a member of nothing in the world. Frankie had become an unjoined person who hung around in doorways, and she was afraid.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Desperately Frankie wants to be someone—anyone—else: “I wish I was somebody else except me.” Beyond a fear of loneliness she is in terror of her own body: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It was the summer of fear, for Frankie, and there was one fear that could be figured in arithmetic…. This August she was twelve and five-sixths years old. She was five feet five and three quarter inches tall, and she wore a number seven shoe. In the past year she had grown four inches…. If she reached her height on her eighteenth birthday…she would grow to be over nine feet tall…. She would be a Freak.</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Everett Collection</w:t>
      </w:r>
    </w:p>
    <w:p w:rsidR="00000000" w:rsidDel="00000000" w:rsidP="00000000" w:rsidRDefault="00000000" w:rsidRPr="00000000">
      <w:pPr>
        <w:contextualSpacing w:val="0"/>
        <w:rPr/>
      </w:pPr>
      <w:r w:rsidDel="00000000" w:rsidR="00000000" w:rsidRPr="00000000">
        <w:rPr>
          <w:rtl w:val="0"/>
        </w:rPr>
        <w:t xml:space="preserve">Ethel Waters, Brandon de Wilde, and Julie Harris in The Member of the Wedding, based on the novel by Carson McCullers, 1952</w:t>
      </w:r>
    </w:p>
    <w:p w:rsidR="00000000" w:rsidDel="00000000" w:rsidP="00000000" w:rsidRDefault="00000000" w:rsidRPr="00000000">
      <w:pPr>
        <w:contextualSpacing w:val="0"/>
        <w:rPr/>
      </w:pPr>
      <w:r w:rsidDel="00000000" w:rsidR="00000000" w:rsidRPr="00000000">
        <w:rPr>
          <w:rtl w:val="0"/>
        </w:rPr>
        <w:t xml:space="preserve">McCullers is the poet of freakiness—the feeling of being in a body not your own, neither female nor male, but some indefinable, teasing mixture of both that is most keenly felt in adolescence. What more appropriate image of desire than the wedding—the public ritual binding lonely individuals together. Frankie falls helplessly in love with her brother and her brother’s fiancée and with the wedding itself, in this beautifully precise passage: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She stood in the doorway, coming from the hall, and the first sight of her brother and the bride had shocked her heart. Together they made in her this feeling that she could not name. But it was like the feelings of the spring, only more sudden and more sharp.</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Like John Singer, Captain Penderton, and Miss Amelia, Frankie Addams has happened upon the object of her romantic yearning seemingly by chance. Though she scarcely knows her older brother Jarvis and doesn’t know his fiancée at all, she projects upon the charismatic young couple her own neediness, not for sexual contact (which, oddly, if not very convincingly, Frankie seems to have had, just one time, with a neighborhood boy, and found repulsive: “The sin made a shriveling sickness in her stomach, and she dreaded the eyes of everyone”) but for an emotional or spiritual redemption. Naively, embarrassingly, Frankie pleads with the astounded couple: “I love the two of you so much and you are the we of me. Please take me with you from the wedding, for we belong to be together.” Titled The Bride during the several years that McCullers was working on it, The Member of the Wedding seems to have shifted its focus from an identification with the bride to an identification with the wedding and the marriage more generally: “The wedding was like a dream outside her power, or like a show unmanaged by her in which she was to have no part.”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Inevitably, Frankie must be disillusioned, humbled by the adult world. She cannot be a “member” of the wedding—she is the freak left behind when the young couple departs. But by the novella’s end Frankie has matured into “Frances”: “Frances was never once to speak about the wedding. Weathers had turned and it was in another season.” There follows the excruciating death of Frankie’s six-year-old cousin John Henry, as if to underscore the irrevocable nature of her experience; Frankie cannot quite believe that the child is dying, that the child dies, of meningitis after ten days of horrific suffering. She hears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a spell of horror, but a part of her could not believe. John Henry had been screaming for three days and his eyeballs were walled up in a corner, stuck and blind. He lay there finally with his head drawn back in a buckled way, and he had lost the strength to scream. He died the Tuesday after the Fair was gone, a golden morning of the most butterflies, the clearest sky.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That “weathers turn” and life continues after the wedding, and after the death of John Henry, is a fact of life that Frankie, that’s to say, Frances, will learn to accept with a “shock of happiness.”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By this time in her personal life McCullers had become intimately acquainted with grief. Her father had died (in 1944) and her marriage to James Reeves McCullers Jr., allegedly idyllic at the outset, had gradually deteriorated as a result of heavy drinking on the part of both McCullers and Reeves. The two were involved in an intense relationship with the bisexual composer David Diamond that did not end happily. Reeves was jealous of McCullers’s success and of her friends; he pilfered money from their household as early as 1940 (“At that time we’d been married for four years and I could not believe that he would do evil,” she wrote in Illumination and Night Glare) and he forged checks with her name. Susceptible to bouts of delirium tremens, Reeves threatened to commit suicide, and several times tried to coerce McCullers into committing suicide with him. He and McCullers often lived apart; they separated numerous times, were divorced, and (unwisely, as she might have surmised) remarried; their relationship was always stormy, verging upon the psychopathic. Reeves’s alarming and destabilizing presence in McCullers’s life seems certainly to have exacerbated her ill health, as she described in her memoir, referring to a stroke she suffered in Paris in 1946:</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all of his talk of wanting to be a writer, I never saw one single line he’d ever written except his letters. Reeves’ temper became more violent, and one night I felt his hands around my neck and I knew he was going to choke me. I bit him on his thumb with such violence that the blood spurted out and he let me go. The disappointment and the dreadfulness of those days might well have caused the last and final stroke from which I suffered.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1953 the unhappy Reeves killed himself by taking an overdose of barbiturates with liquor and Antabuse; as Tennessee Williams observed, “Reeves died, ultimately, out of great love for Carson. His was a desperate loneliness. Without her, he was an empty shell.”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“The Crack-Up,” Scott Fitzgerald famously acknowledged that he had been “a poor custodian” of his talent. In her emotional and alcoholic excesses, Carson McCullers proved even more reckless with her own: for all of her fame, and the brilliance of her strongest writing, she produced a relatively small body of work, collected here in admirably compact Library of America editions, very capably edited by Carlos L. Dews. An earlier volume includes the five novels, but the more recent volume brings together remaining work, including the outstanding short fiction that brought McCullers to literary prominence in the early 1940s (“Wunderkind,” “The Jockey,” “A Tree. A Rock. A Cloud”) with reprints in The Best American Short Stories and The O. Henry Awards. Here too are essays and poems of varying degrees of quality, as well as McCullers’s stage adaptation of the highly successful The Member of the Wedding, and the plaintively appealing and disjointed memoir-fragment Illumination and Night Glare, which was dictated to an array of different people in the final months of McCullers’s life.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“Illumination” is McCullers’s term for inspiration, epiphany, sudden insight that comes “in a flash, as a religious phenomenon”; “night glare” is her term for her illnesses and bad luck. It was an “illumination” that allowed McCullers to realize, for instance, that John Singer, the symbolic core of The Heart Is a Lonely Hunter, is a deaf-mute; it was an “illumination” that allowed her to see how the work-in-progress titled The Bride was really about an entire wedding. As McCullers humbly acknowledges: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There were so many frightful times when I was totally “un-illuminated,” and feared that I could never write again. This fear is one of the horrors of an author’s life. Where does work come from? What chance, what small episode will start the chain of creation?…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To come back to “non-illuminations,” the soul is flattened out, and one does not even dare to hope. At times like these I’ve tried praying but even prayers do not seem to help me. I remember the fallow times of other authors and try to draw comfort from them.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 want to be able to write whether in sickness or in health, for indeed, my health depends almost completely upon my writing.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1963-2017 NYREV, Inc. All rights reserved.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