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pPr>
      <w:r w:rsidDel="00000000" w:rsidR="00000000" w:rsidRPr="00000000">
        <w:rPr>
          <w:rtl w:val="0"/>
        </w:rPr>
        <w:t xml:space="preserve">Readings Sept 17 2017</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Nuclear Diplomacy: From Iran to North Korea?</w:t>
      </w:r>
    </w:p>
    <w:p w:rsidR="00000000" w:rsidDel="00000000" w:rsidP="00000000" w:rsidRDefault="00000000" w:rsidRPr="00000000">
      <w:pPr>
        <w:contextualSpacing w:val="0"/>
        <w:rPr/>
      </w:pPr>
      <w:r w:rsidDel="00000000" w:rsidR="00000000" w:rsidRPr="00000000">
        <w:rPr>
          <w:rtl w:val="0"/>
        </w:rPr>
        <w:t xml:space="preserve">Jessica T. Mathews AUGUST 17, 2017 ISSUE</w:t>
      </w:r>
    </w:p>
    <w:p w:rsidR="00000000" w:rsidDel="00000000" w:rsidP="00000000" w:rsidRDefault="00000000" w:rsidRPr="00000000">
      <w:pPr>
        <w:contextualSpacing w:val="0"/>
        <w:rPr/>
      </w:pPr>
      <w:r w:rsidDel="00000000" w:rsidR="00000000" w:rsidRPr="00000000">
        <w:rPr>
          <w:rtl w:val="0"/>
        </w:rPr>
        <w:t xml:space="preserve">Losing an Enemy: Obama, Iran, and the Triumph of Diplomacy</w:t>
      </w:r>
    </w:p>
    <w:p w:rsidR="00000000" w:rsidDel="00000000" w:rsidP="00000000" w:rsidRDefault="00000000" w:rsidRPr="00000000">
      <w:pPr>
        <w:contextualSpacing w:val="0"/>
        <w:rPr/>
      </w:pPr>
      <w:r w:rsidDel="00000000" w:rsidR="00000000" w:rsidRPr="00000000">
        <w:rPr>
          <w:rtl w:val="0"/>
        </w:rPr>
        <w:t xml:space="preserve">by Trita Parsi</w:t>
      </w:r>
    </w:p>
    <w:p w:rsidR="00000000" w:rsidDel="00000000" w:rsidP="00000000" w:rsidRDefault="00000000" w:rsidRPr="00000000">
      <w:pPr>
        <w:contextualSpacing w:val="0"/>
        <w:rPr/>
      </w:pPr>
      <w:r w:rsidDel="00000000" w:rsidR="00000000" w:rsidRPr="00000000">
        <w:rPr>
          <w:rtl w:val="0"/>
        </w:rPr>
        <w:t xml:space="preserve">Yale University Press, 454 pp., $32.50</w:t>
      </w:r>
    </w:p>
    <w:p w:rsidR="00000000" w:rsidDel="00000000" w:rsidP="00000000" w:rsidRDefault="00000000" w:rsidRPr="00000000">
      <w:pPr>
        <w:contextualSpacing w:val="0"/>
        <w:rPr/>
      </w:pPr>
      <w:r w:rsidDel="00000000" w:rsidR="00000000" w:rsidRPr="00000000">
        <w:rPr>
          <w:rtl w:val="0"/>
        </w:rPr>
        <w:t xml:space="preserve">North Korea and Nuclear Weapons: Entering the New Era of Deterrence</w:t>
      </w:r>
    </w:p>
    <w:p w:rsidR="00000000" w:rsidDel="00000000" w:rsidP="00000000" w:rsidRDefault="00000000" w:rsidRPr="00000000">
      <w:pPr>
        <w:contextualSpacing w:val="0"/>
        <w:rPr/>
      </w:pPr>
      <w:r w:rsidDel="00000000" w:rsidR="00000000" w:rsidRPr="00000000">
        <w:rPr>
          <w:rtl w:val="0"/>
        </w:rPr>
        <w:t xml:space="preserve">edited by Sung Chull Kim and Michael D. Cohen</w:t>
      </w:r>
    </w:p>
    <w:p w:rsidR="00000000" w:rsidDel="00000000" w:rsidP="00000000" w:rsidRDefault="00000000" w:rsidRPr="00000000">
      <w:pPr>
        <w:contextualSpacing w:val="0"/>
        <w:rPr/>
      </w:pPr>
      <w:r w:rsidDel="00000000" w:rsidR="00000000" w:rsidRPr="00000000">
        <w:rPr>
          <w:rtl w:val="0"/>
        </w:rPr>
        <w:t xml:space="preserve">Georgetown University Press, 224 pp., $64.95; $32.95 (paper)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Bandar Algaloud/Saudi Royal Council/Handout/Anadolu Agency/Getty Images</w:t>
      </w:r>
    </w:p>
    <w:p w:rsidR="00000000" w:rsidDel="00000000" w:rsidP="00000000" w:rsidRDefault="00000000" w:rsidRPr="00000000">
      <w:pPr>
        <w:contextualSpacing w:val="0"/>
        <w:rPr/>
      </w:pPr>
      <w:r w:rsidDel="00000000" w:rsidR="00000000" w:rsidRPr="00000000">
        <w:rPr>
          <w:rtl w:val="0"/>
        </w:rPr>
        <w:t xml:space="preserve">President Trump with Saudi Arabia’s King Salman bin Abdulaziz al-Saud in Riyadh, Saudi Arabia, where Trump gave a speech that was, Jessica Mathews writes, ‘a full-throated embrace of the Saudi view of Iran as the region’s chief malefactor,’ May 21, 2017</w:t>
      </w:r>
    </w:p>
    <w:p w:rsidR="00000000" w:rsidDel="00000000" w:rsidP="00000000" w:rsidRDefault="00000000" w:rsidRPr="00000000">
      <w:pPr>
        <w:contextualSpacing w:val="0"/>
        <w:rPr/>
      </w:pPr>
      <w:r w:rsidDel="00000000" w:rsidR="00000000" w:rsidRPr="00000000">
        <w:rPr>
          <w:rtl w:val="0"/>
        </w:rPr>
        <w:t xml:space="preserve">Over five days in May, Donald Trump’s Iran policy—of monumental importance to the future of the Middle East and to US security—began to come into focus. On May 17, the president quietly agreed to continue to waive sanctions against Iran, a step that was required to keep the Iran nuclear deal in force. Two days later Iran held presidential elections with a landslide result in favor of the moderate incumbent, Hassan Rouhani; and two days after that the United States’ new Middle East policy, built around a Saudi-US-Israel axis, was unveiled in the president’s speech in Riyadh.</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It had long seemed clear that Trump was not going to “rip up” what he had called in the campaign “the dumbest deal…in the history of deal-making.” The State Department had confirmed repeated findings by the International Atomic Energy Agency (IAEA) that Iran was meeting its nuclear commitments. But the May 17 waiver was the first time that an affirmative action on the deal had to be taken in the president’s name.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Iran’s election pitted President Rouhani, the architect of the deal and a proponent of reengaging Iran with the world, against a conservative, nationalist cleric, Ebrahim Raisi, who ran with the backing of the Revolutionary Guard and other hard-line forces. Had Raisi won, the deal’s future in Iran would have been very much in doubt. Instead, Rouhani had a resounding victory with high voter turnout. Though few Iranians have yet to feel any economic benefit from the deal and the end to international isolation it promises, there is little doubt that, for now, they overwhelmingly favor sticking with it.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Saudi Arabia, where he was making the first stop of his first trip abroad as president, Trump ignored that positive outcome. His speech was a full-throated embrace of the Saudi view of Iran as the region’s chief malefactor and cause of its troubles. Trump’s reference to Tehran as the Middle East power that has “for decades…fueled the fires of sectarian conflict and terror” is a more accurate description of the Saudi kingdom, with its long record of exporting an unforgiving brand of Wahhabi Islam to madrasas and mosques around the world. His assurance of unquestioning friendship with Riyadh is new in American policy. Washington will ignore the failure of Saudi Arabia and other Sunni states to enact needed political and economic reforms, and their repression of Shia minorities, in exchange for their help against ISIS and promotion of Israeli–Palestinian peace. All nations, Trump declaimed, “must work together to isolate Iran.”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new US policy has layers of contradictions. By not rejecting the nuclear deal the administration tacitly acknowledges that it’s working, yet senior officials continue to harshly criticize it. This extreme distaste for an agreement that has removed—at least for a decade—a nuclear threat that a few years ago raised the specter of another war in the Middle East is even odder when set against the standoff with North Korea. If anything were needed to underline how much safer the Iran deal has made the United States, the menace of North Korea’s nuclear development surely qualifies.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new policy’s anti-Iran stance reflects the real reason that Israel and the Gulf states oppose the deal: they fear an Iran released from the international penalty box to which it was relegated for the nearly twenty years that Tehran pursued—and lied about—its weapons program. Many in the region remember that it was not very long ago that Iran and the US were close allies. They are far more comfortable with Iran’s being indefinitely excluded from the region’s commerce and diplomacy. Hence the particular words “isolate Iran.” Now that a weapons program is no longer the primary concern, the rationale for isolation has shifted to Iran’s activities in Iraq, Syria, Yemen, and elsewhere. Yet such geopolitical differences, no matter how profound, are never resolved by avoiding dialogue; rather, they deepen.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Setting aside the unwisdom of taking sides in the region’s Sunni–Shia divide, the low probability that a partnership linking Saudi Arabia, Israel, and the US will help achieve an Israeli–Palestinian peace, and the dubious assumption that conservative Sunni states will make the defeat of ISIS, al-Qaeda, and other Sunni terrorist groups a top priority, the new policy raises important questions about the nuclear deal itself. What has happened in the two years since it was agreed to? To what degree is it contributing to US national security? Can it be sustained in the face of unrelenting enmity from the US?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Since the deal was concluded in 2015, Iran has gotten rid of all of its highly enriched uranium. It has also eliminated 98 percent of its stockpile of low-enriched uranium, leaving only three hundred kilograms, less than the amount needed to fuel one weapon if taken to high enrichment. The number of centrifuges maintained for uranium enrichment is down from 19,000 to 6,000. The rest have been dismantled and put into storage under tight international monitoring. Continuing enrichment is limited to 3.67 percent, the accepted level for reactor fuel. All enrichment has been shut down at the once-secret, fortified, underground facility at Fordow, south of Tehran. Iran has disabled and poured concrete into the core of its plutonium reactor—thus shutting down the plutonium as well as the uranium route to nuclear weapons. It has provided adequate answers to the IAEA’s long-standing list of questions regarding past weapons-related activities.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Iran has accepted around-the-clock supervision by IAEA inspectors, cameras, and monitoring equipment at its nuclear facilities. There have been no problems with access. These inspections include some places, like uranium mines and centrifuge rotor production facilities, that have never previously been subjected to international oversight in other countries. Their inclusion makes it much harder to operate a covert program. Iran has adhered to allowed limits on R&amp;D, and an innovative mechanism to track sensitive imports has been created.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Two years ago critics in the United States were deeply skeptical that these steps would be carried out. Today they are facts. Most of the commitments extend for ten or fifteen—and in a few cases twenty-five—years. Iran remains a party to the Non-Proliferation Treaty (North Korea withdrew in 2003), and several of the deal’s enforcement provisions strengthen the treaty by serving as models for application elsewhere.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this light, Secretary of State Rex Tillerson’s recent description of the agreement as “the same failed approach…that brought us to the current imminent threat that we face from North Korea” is simply bizarre, betraying either ignorance of the facts or a willingness to wholly distort them. A “failure” like this would be an unimaginable success in North Korea.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It is dangerously easy now to forget, as Tillerson seems to have done, the trajectory of US–Iranian relations a few years ago. In September 2010, a well-sourced article by Jeffrey Goldberg in The Atlantic asserted that Israel was on the verge of bombing Iran. A technical “point of no return” in Iran’s pursuit of a nuclear weapon would be reached within a few months, Goldberg wrote, and Israel would not allow that to happen. Washington knew this would be a war that Israel could start but not finish. The US would be dragged into the conflict to aid Israel—strategically and politically a terrible outcome. Over the following two years there was more and more discussion in Washington of the US taking the military initiative.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At that time the prospect of serious negotiations between two countries steeped in mutual distrust seemed beyond reach. Iran and the US had not spoken for more than thirty years and the venomous Mahmoud Ahmadinejad was still Iran’s president. Only two options looked likely: that Iran would continue to build centrifuges until it could produce enough highly enriched uranium for a nuclear arsenal; or war—against a country more than three times the size of Iraq.</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story of how dogged diplomacy and some good luck took us from that low point to a deal that few could have imagined is one worth telling. Trita Parsi, president of the National Iranian American Council, who had the advantage of access to high-level participants on both sides, tells it well in his new book, Losing an Enemy: Obama, Iran, and the Triumph of Diplomacy. Crucial events and decisions are traced in great detail, supported by an unusual wealth of on-the-record interviews. The book generally gives the Iranian view of the more controversial issues, especially regarding the part played by sanctions. But the insight thereby provided is useful if the bias is understood.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Opponents of the deal raise three issues: that its provisions aren’t tough enough; that Iran will inevitably cheat; and that the deal should have covered nonnuclear issues. The last of these is the thinnest. No deal spanning all of the issues that divide the US and Iran, much less all seven parties to the talks (those two plus Russia, China, the UK, France, and Germany) could possibly have been agreed to; this argument amounts to rejecting negotiation entirely. And who could possibly prefer no agreement at all to one that has dealt with only the single most dangerous issue? As regards cheating, Iran has certainly done so before. While not watertight, the deal’s technical provisions are strong enough that any attempt to evade them would almost certainly be quickly detected. The technical measures are reinforced by political protections, notably the right of any single permanent member of the UN Security Council to demand that sanctions be “snapped back” if a disagreement arises over compliance.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But is the deal tough enough? Critics insist that it should have banned enrichment entirely. I felt this way in 2005. But a negotiated agreement is a reflection of what can be achieved at a given moment. In 2003 the US rejected a deal that would have capped Iranian centrifuges at an unthreatening three thousand. The decade that elapsed between then and 2013, when Iran was on the verge of nuclear breakout, did not work in the West’s favor. Technology consistently outpaced faltering diplomacy. As one official involved in the negotiations later noted, “We were constantly chasing the deal we could have gotten two years earlier.”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Yet there was a good reason why the US refused for so long to consider a deal that allowed enrichment. The difficulty lay in figuring out Iran’s real intentions. If Iran did not want nuclear weapons, as Iranian leaders insisted, why was it building centrifuge capacity so far in excess of its conceivable civilian needs? And indeed, why enrich at all when reactor fuel can be bought on the commercial market far more cheaply?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Parsi’s answer is domestic politics. Because of what he dubs the Supreme Leader’s “incentive structure”—by which he presumably means the policies Ayatollah Ali Khamenei favored and hence rewarded politically—Tehran convinced itself that “the nuclear issue ultimately was a pretext the West used to pressure Iran, to deprive it of access to science, and to deny it the ability to live up to its full potential.” This would keep Iran from being able to challenge US domination of the region. The right to enrich uranium became a symbol of national pride, technological prowess, international standing—and fairness. How could the great Persian nation be denied the right to do something that eight other nonnuclear weapons states were doing? At the least, having given up so much else, drawing the line at enrichment was a way for Tehran to keep the deal from looking, and feeling, like a defeat.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This nonnefarious explanation is much easier to take seriously now that an agreement has been reached and adhered to. In truth, the US still does not know what Tehran’s nuclear intentions were and how they may have evolved. Iranians’ views on critical questions are no less divided than are Americans’. Some members of Tehran’s leadership may have wanted Iran to be a nuclear weapons state. Others may have wanted to get just to the brink without crossing over—the so-called Japan option. A definitive choice may never have been made. US intelligence concluded in 2007, and reaffirmed twice thereafter, that Iran had abandoned its weapons program some years earlier. Perhaps nuclear weapons were the goal until the price imposed by worldwide sanctions got too high.</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As reluctant as President Trump and his team are to acknowledge it, the nuclear deal has removed a major danger, allowing him to focus on other Iranian policies, especially in Syria where US and Iranian interests are likely to clash as ISIS is progressively weakened there.* The range of threats to US national security—and indeed to global security—looks entirely different than it did in 2012, when there was a real prospect of a nuclear-armed Iran that could in turn provoke nuclear proliferation across the unstable Middle East—in Saudi Arabia, Egypt, and Turkey in particular. While the deal is not perfect, Iran has thrown away tens of billions of dollars and decades of work on weapons-related materials and facilities, has taken, in the most pessimistic outlook, a ten- to fifteen-year hiatus in pursuit of nuclear weapons, and remains a permanent member of the Non-Proliferation Treaty. Are there lessons from this success that might be applied to the growing nuclear threat in Asia?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STR/AFP/Getty Images</w:t>
      </w:r>
    </w:p>
    <w:p w:rsidR="00000000" w:rsidDel="00000000" w:rsidP="00000000" w:rsidRDefault="00000000" w:rsidRPr="00000000">
      <w:pPr>
        <w:contextualSpacing w:val="0"/>
        <w:rPr/>
      </w:pPr>
      <w:r w:rsidDel="00000000" w:rsidR="00000000" w:rsidRPr="00000000">
        <w:rPr>
          <w:rtl w:val="0"/>
        </w:rPr>
        <w:t xml:space="preserve">North Korean leader Kim Jong-Un viewing the test of a medium-to-long-range ballistic missile in an undated photo released May 22, 2017</w:t>
      </w:r>
    </w:p>
    <w:p w:rsidR="00000000" w:rsidDel="00000000" w:rsidP="00000000" w:rsidRDefault="00000000" w:rsidRPr="00000000">
      <w:pPr>
        <w:contextualSpacing w:val="0"/>
        <w:rPr/>
      </w:pPr>
      <w:r w:rsidDel="00000000" w:rsidR="00000000" w:rsidRPr="00000000">
        <w:rPr>
          <w:rtl w:val="0"/>
        </w:rPr>
        <w:t xml:space="preserve">North Korea is years beyond the nuclear “breakout” the US so fears in Iran. Pyongyang’s first nuclear test was more than a decade ago. Four more have followed with yields up to twice the size of the Hiroshima bomb. The country is believed to have around twenty fission bombs and to be progressing along the path to a much larger hydrogen bomb. Moreover, the regime is consistently making faster progress on missile technology than US intelligence has expected, including the stunning July 4 test of what appears to be a bona fide intercontinental ballistic missile (ICBM). North Korea’s shorter-range missiles can now be fired from mobile launchers rather than fixed sites, and fueled with solid rather than liquid fuel. Both of these advances make preparation for a missile launch much quicker and harder to detect. The crucial remaining unknowns are how long it will take Pyongyang to perfect an ICBM capable of reaching the continental US and to miniaturize nuclear weapons so that they can be delivered atop a missile.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differences with Iran are obvious, but there are also similarities that suggest how US policy toward North Korea should be shaped. In both cases there is a nearly bottomless well of distrust—in Pyongyang, even of its Chinese ally. Americans and Iranians so feared each other that they needed the help of a middleman, Sultan Qaboos of Oman, to get close enough even to begin negotiating. There is no person or country that can play that part for North Korea, but the absence of trust must somehow be reckoned with in US strategy.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Similarly, in both Iran and North Korea, though for different cultural and historical reasons, “respect” and “dignity” carry a weight that is very hard for Americans to appreciate, but which has to be understood. In a somber video message to clarify Tehran’s positions recorded in November 2013, Javad Zarif, foreign minister and chief negotiator, opens with the surprising words: “What is respect? What is dignity?” Summarizing their detailed study of the North Korean situation, Sung Chull Kim and Michael D. Cohen, editors of a valuable new volume of scholarly essays, write: “For North Korea, the sensitive nerve of Kim Jong-un’s legitimization—the so-called dignity—is apparently one of the most vulnerable parts of the regime.”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Pyongyang and Tehran share a third unusual characteristic that must influence US policy. In both capitals regime survival has often been more important to those in power than the national interest. The recent fate of Muammar Qaddafi after he gave up his nuclear program and of Saddam Hussein makes this anxiety even more acute. Repeated US talk of regime change will be just as counterproductive in dealing with North Korea as it was with Iran.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Above all, in neither country is there an attractive military option. North Korea is capable of inflicting millions of casualties on South Korea with conventional heavy artillery before those guns could be silenced. Negotiation is therefore unavoidable. This means that a winner-take-all goal (comparable to the zero-enrichment position vis-à-vis Iran) is unachievable. Time spent pursuing one will be wasted.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Instead, as with Iran, what can be achieved has to be calibrated against present circumstances. In view of Pyongyang’s large nuclear arsenal and advanced missile delivery systems, the long-standing US insistence that North Korea agree to complete denuclearization as a precondition to talks is far out of date and must be dropped.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How much can sanctions help? As Iran demonstrated, they can raise the cost of undesired behavior, but they will not halt it so long as the country in question is willing to suffer the consequences—something North Korea is clearly willing to do. Moreover, over long periods of time, sanctions lose an edge. External pressure unites those subjected to it and economies adapt, creating black markets that perversely produce a class of people who profit from sanctions and want them prolonged.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Parsi goes so far as to assert that the sanctions regime imposed on Iran “ultimately proved only that sanctions do not work,” but this is the Iranian line and it is false. He admits elsewhere in the book that the sanctions created substantial leverage for Iran’s opponents through the economic pain and international isolation they inflicted. Sanctions are also essential to demonstrating international resolve. Yet North Korea’s extremely closed economy and iron-fisted autocracy make it the least susceptible of any country on earth to such pressure. Sanctions have to be maintained but, short of posing a mortal threat to North Korea’s regime, they are not a solution.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China could, but won’t, create that mortal threat—by withholding oil and food. Trump is not the first American president to hope that if only the US leans heavily enough on China, China will lean hard enough on North Korea to force it to back down. Beijing fears both the internal chaos and the flood of refugees that would follow a collapse of North Korea’s government. But the principal reason why it will not force regime change is a deeply held strategic fear of a united Korea allied to the US, which would put American forces on its own border. Pressure from Washington won’t alter China’s assessment of its national interest.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Ultimately, then, the only approach that might work is one that has not yet been tried: a joint effort by the US and China. As an eventual outcome, both sides’ interests would be met by a unified, denuclearized, neutral Korea. While this end state is not hard to define, the process of getting there would be tortuous and require a degree of mutual trust between Washington and Beijing that does not now exist. Small, confidence-building steps would be needed over a long period. North and South Korea would have to find an acceptable basis for reunification—overcoming mountains of difficulty in bringing together a dictatorship that is nothing without its weapons and a democracy whose economy is more than one hundred times larger. North–South agreements signed in 1991 and 2000 point to a confederation between the two states as the means of starting the process.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effort would take years. In the meantime, the US and the world will have to depend on a determined defense and, more importantly, deterrence. Rhetorical bluster and military gestures—like firing off missiles in response to North Korean tests—only confirm the regime’s paranoia and undermine US credibility. Pyongyang will not be frightened into changing direction at this late date. Washington can and should tighten sanctions on Chinese banks and companies trading with North Korea, and continue to pressure Beijing into taking a tougher stance. But it would be a huge mistake to make this issue the sole test of the US–China relationship, as President Trump repeatedly suggests he will do. That would be to trade one strategic threat for two.</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Meanwhile, the US must preserve the Iran deal—which cannot be taken for granted. The deal’s greatest weakness is not to be found in its provisions but in the hostility of those in Tehran, Washington, and Jerusalem who, for mostly political reasons, would like to see it die. In the US, through more than thirty years of frozen nonrelations, Iran became a two-dimensional cartoon of evil that too many members of Congress, especially, and leading officials in the present administration, including the president, still believe in. And though Israel’s top general called the deal a “strategic turning point,” Prime Minister Benjamin Netanyahu’s opposition, which began long before a deal was actually negotiated, hasn’t ebbed.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Such caricatures don’t survive direct exposure. Parsi quotes a German diplomat who makes the point: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Germany has normal diplomatic relations, which makes a huge difference in our understanding of Iran. Just relying on intelligence, as the US is forced to do, can distort things. It becomes all about drama, doom and gloom, and never about the normal things. Till this day, the US still has an unnatural relationship with Iran.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He’s right, of course. Our continuing lack of diplomatic relations does not make it any easier to maintain the nuclear agreement in the face of profound geopolitical strains. The onus for this to change is on Tehran.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administration and opponents of the deal in Congress—nearly all of them Republicans—need to update their rhetoric. Contrary to what they expected, the deal is being honored and continuing denunciations are not cost-free. They undermine the working relationship with the Iranian government needed to keep the deal in force—technical and financial issues crop up and must be managed—and they encourage dangerous mischief on Capitol Hill by members who want to score what seem to be cheap political points or even see the deal collapse. Provocations from Washington will be instantly responded to by Tehran—especially as the US escalates its military activity in Syria, Yemen, and Iraq. And the criticisms raise expectations among Iran’s opponents in the Middle East that the US cannot meet without throwing away what has been achieved.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It may be too much to hope that the Trump administration will come to recognize that pariah status does not improve any nation’s behavior, and that the Iran deal is the starting point from which other issues the US has with Iran, beginning with the future of Syria, can be addressed. But we should at least be able to expect that the administration is capable of recognizing the boon to national security it has inherited and that it can exercise the discipline and focus necessary to maintain it.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—July 12, 2017</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Roman Rivalries</w:t>
      </w:r>
    </w:p>
    <w:p w:rsidR="00000000" w:rsidDel="00000000" w:rsidP="00000000" w:rsidRDefault="00000000" w:rsidRPr="00000000">
      <w:pPr>
        <w:contextualSpacing w:val="0"/>
        <w:rPr/>
      </w:pPr>
      <w:r w:rsidDel="00000000" w:rsidR="00000000" w:rsidRPr="00000000">
        <w:rPr>
          <w:rtl w:val="0"/>
        </w:rPr>
        <w:t xml:space="preserve">Ingrid D. Rowland AUGUST 17, 2017 ISSUE</w:t>
      </w:r>
    </w:p>
    <w:p w:rsidR="00000000" w:rsidDel="00000000" w:rsidP="00000000" w:rsidRDefault="00000000" w:rsidRPr="00000000">
      <w:pPr>
        <w:contextualSpacing w:val="0"/>
        <w:rPr/>
      </w:pPr>
      <w:r w:rsidDel="00000000" w:rsidR="00000000" w:rsidRPr="00000000">
        <w:rPr>
          <w:rtl w:val="0"/>
        </w:rPr>
        <w:t xml:space="preserve">Michelangelo and Sebastiano</w:t>
      </w:r>
    </w:p>
    <w:p w:rsidR="00000000" w:rsidDel="00000000" w:rsidP="00000000" w:rsidRDefault="00000000" w:rsidRPr="00000000">
      <w:pPr>
        <w:contextualSpacing w:val="0"/>
        <w:rPr/>
      </w:pPr>
      <w:r w:rsidDel="00000000" w:rsidR="00000000" w:rsidRPr="00000000">
        <w:rPr>
          <w:rtl w:val="0"/>
        </w:rPr>
        <w:t xml:space="preserve">an exhibition at the National Gallery, London, March 15–June 25, 2017</w:t>
      </w:r>
    </w:p>
    <w:p w:rsidR="00000000" w:rsidDel="00000000" w:rsidP="00000000" w:rsidRDefault="00000000" w:rsidRPr="00000000">
      <w:pPr>
        <w:contextualSpacing w:val="0"/>
        <w:rPr/>
      </w:pPr>
      <w:r w:rsidDel="00000000" w:rsidR="00000000" w:rsidRPr="00000000">
        <w:rPr>
          <w:rtl w:val="0"/>
        </w:rPr>
        <w:t xml:space="preserve">Catalog of the exhibition by Matthias Wivel and others</w:t>
      </w:r>
    </w:p>
    <w:p w:rsidR="00000000" w:rsidDel="00000000" w:rsidP="00000000" w:rsidRDefault="00000000" w:rsidRPr="00000000">
      <w:pPr>
        <w:contextualSpacing w:val="0"/>
        <w:rPr/>
      </w:pPr>
      <w:r w:rsidDel="00000000" w:rsidR="00000000" w:rsidRPr="00000000">
        <w:rPr>
          <w:rtl w:val="0"/>
        </w:rPr>
        <w:t xml:space="preserve">London: National Gallery, 271 pp., $50.00 (distributed by Yale University Press)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Museo Civico, Viterbo</w:t>
      </w:r>
    </w:p>
    <w:p w:rsidR="00000000" w:rsidDel="00000000" w:rsidP="00000000" w:rsidRDefault="00000000" w:rsidRPr="00000000">
      <w:pPr>
        <w:contextualSpacing w:val="0"/>
        <w:rPr/>
      </w:pPr>
      <w:r w:rsidDel="00000000" w:rsidR="00000000" w:rsidRPr="00000000">
        <w:rPr>
          <w:rtl w:val="0"/>
        </w:rPr>
        <w:t xml:space="preserve">Sebastiano del Piombo: Lamentation over the Dead Christ (Pietà), circa 1512–1516</w:t>
      </w:r>
    </w:p>
    <w:p w:rsidR="00000000" w:rsidDel="00000000" w:rsidP="00000000" w:rsidRDefault="00000000" w:rsidRPr="00000000">
      <w:pPr>
        <w:contextualSpacing w:val="0"/>
        <w:rPr/>
      </w:pPr>
      <w:r w:rsidDel="00000000" w:rsidR="00000000" w:rsidRPr="00000000">
        <w:rPr>
          <w:rtl w:val="0"/>
        </w:rPr>
        <w:t xml:space="preserve">In theory, they were the perfect combination: a Florentine sculptor and a Venetian painter, a master of line and a master of color, Michelangelo Buonarroti and Sebastiano Luciani, the twin subjects of an exhibition this spring at London’s National Gallery. “Michelangelo and Sebastiano” brought together paintings, drawings, sculpture, and letters by these two sixteenth-century friends and occasional collaborators, along with plaster casts of sculptures by Michelangelo and a full-size facsimile of a Roman chapel painted by Sebastiano that looked, from a distance, like the real thing with better lighting.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pair met in Rome, perhaps as early as August 1511, when Sebastiano arrived in the entourage of Agostino Chigi, a banker, diplomat, industrialist, and international power broker, triumphant after six months of negotiations in Venice involving France, the Holy Roman Emperor, and the papacy. Along with the hard-won treaty that linked these four powers in a Holy League, Chigi returned to Rome with 30,000 ducats pledged from the Venetian state treasury, a painter (Sebastiano), a Greek typographer, and the daughter of a Venetian greengrocer, his latest mistress. He set Sebastiano to work painting frescoes for his new suburban villa in Trastevere, “The Pleasure Garden” (Viridarium), the deceptively idyllic headquarters for his international banking operation. (Designed by Baldassarre Peruzzi, a disciple of Bramante, it was acquired in 1579 by the Farnese family and has since been known as the Villa Farnesina.)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Michelangelo had also been painting frescoes in Rome, on the vast ceiling of the Sistine Chapel, a project that had engaged him since 1508 and would occupy him until 1512. Ironically, both artists would rather have been doing something else. Michelangelo, who claimed that he had drunk in marble dust with the milk of his wet nurse, longed to carve stone rather than stand for hours every day on a sky-high wooden scaffold, craning his neck as he swept his huge brushes overhead. Sebastiano had almost always painted with oil on wood or canvas rather than applying water-based paint to fresh plaster; fresco was not an ideal technique in the damp salt air of the Venetian lagoon, and he had little experience with it. He had probably carried out only one serious fresco commission before coming to Rome: a joint project with his teacher Giorgione and another young assistant, Tiziano Vecellio—Titian, the artist Chigi had truly hoped to lure away from Venice.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Sebastiano may have left Titian behind, but he soon learned that he had another rival in Rome itself. Raphael, two years older than Sebastiano, had just completed two large frescoes in the papal apartments, The School of Athens and The Triumph of Theology (conventionally, if inaccurately, known as The Disputation of the Holy Sacrament), large public commissions that revealed an unparalleled mastery of the difficult medium. Within a year, Sebastiano was no longer painting frescoes for Agostino Chigi’s “Pleasure Garden.” He had just finished one section of a wall in the summer dining room when Chigi suddenly passed the whole assignment to Raphael, who rose to the challenge with a fresco of the nymph Galatea scudding across the Aegean in a dolphin-drawn seashell chariot, nymphs and mermen gamboling around her in a sparkling, white-capped sea. The abrupt substitution left Sebastiano with a burning urge to redeem himself and an incandescent hatred for his charming, successful competitor.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Chigi’s villa still tells the story today: Sebastiano’s frescoes in the lunettes of what is now called the Loggia di Galatea show skillful brushwork, novel color combinations, and some small triumphs, like a marvelous pair of spotted hawks and a young boy hurtling down from the heavens in a striped silk loincloth (Perdix, the nephew of Daedalus, who was turned into a partridge). But fresco can be a treacherous medium, because its colors change in the first hours, as wet plaster turns to dry. Rather than working with the colors they see, fresco painters must predict what those colors will become, a skill for which there is no more reliable guide than experience.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Lacking that experience, Sebastiano gave Chigi a rainbow that turned brown, golden hair that faded into its background rather than shining forth, a peacock’s tail whose shimmering blues evolved into chalky gray. With oil paint, artists can change their minds, but the most effective way to alter a fresco is to chop out the original plaster and begin again. Sebastiano, like most Venetians, went straight to work on his paintings without sketching them out extensively on paper, confident that he could always adjust figures and compositions as he went along: oil paint dried slowly, especially in the Venetian damp. This spontaneity shows with particular clarity in an ambitious early painting that started off Sebastiano’s segment of the London show: a Judgment of Solomon from 1506–1509 that time has revealed as a patchwork of experiments.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But when Sebastiano gave his frescoed figure of Juno in Chigi’s villa an impossibly long pair of calves, he could only hope that the dazzle of her peacock chariot would distract critical eyes from her defective anatomy—as it may have done for a short while, before the calcium carbonate in his drying plaster dimmed the peacocks’ luster. There was no question of beginning again on these frescoes, however flawed. Agostino Chigi was not a man to waste time. His grandnephew Fabio Chigi reported that “he utterly hated all lazy people” (or as Fabio put it in poetic Latin, ociosos omnes oderat omnino). Sebastiano’s lunettes and wall have stayed as they were for five centuries, imperfections and all—charming, but only a cloudy memory of what they must have looked like when the colors were still wet on the wall. Raphael’s Galatea utterly eclipsed them, to Sebastiano’s eternal outrage.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Venetian’s skill at oil painting, on the other hand, remained indisputable. Shortly after Sebastiano’s disappointment at Chigi’s villa, one of the banker’s associates, Giovanni Botonti, commissioned him to create a large altarpiece for the cavernous medieval church of San Francesco in nearby Viterbo, to be executed in oil on a wooden panel. Sebastiano had already struck up his friendship with Michelangelo, who provided a preparatory drawing for this new painting, a Lamentation over the Dead Christ, or Pietà. In one of several dramatically effective displays, the London exhibition hung Sebastiano’s Viterbo Pietà opposite an excellent plaster cast of Michelangelo’s marble Pietà from St. Peter’s Basilica (an earlier cast served as the model for repairing the original after it was vandalized in 1972).</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Trained in the artistic tradition of his native Tuscany, Michelangelo prized drawing (disegno) as the essential preparation for creating any work of art, in any medium, from jewelry to architecture (as the exhibition showed through a choice selection of his early paintings, drawings, and sculpture). Prodigiously talented, charismatic, and overbearing, he supplied friendly fellow artists with drawings for their own projects, imposing his muscular style on a whole generation in Florence and Rome. The drawings were gifts, but they were also assertions of dominance.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Sebastiano had several reasons for gravitating to Michelangelo, first among them the sheer power of the Florentine’s artistry. Even as a plaster facsimile, Michelangelo’s Pietà plays out its quiet tragedy with gentle simplicity, as a mother faces the death of her child in the only way she can: with pure, steadfast love. In this early Pietà Mary throws up her left hand in despair as her right hand catches her son in an iron grip; in Michelangelo’s last, unfinished Pietà in Milan, a small, stocky Mary slings an arm around Jesus to clutch him in an embrace fierce enough to last forever. Michelangelo could be stingy, irascible, and demanding, but he knew how to communicate love in affecting details that infuse human warmth into cold stone.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Michelangelo also introduced Sebastiano to the Tuscan way of creating art. The Venetian began to refine his technique as a draftsman, concentrating on anatomy, learning to manage details in chalk on paper before committing them to paint. The drawings displayed in London track his progress alongside that of his mentor, but when it came to a commission as significant as the Viterbo altarpiece, Sebastiano took no chances: rather than rely on his own disegno, he called in the master.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Finally, the two men bonded in their hostility to Raphael. They called him “the prince of the synagogue” because of his friendships with Jews and plotted incessantly to thwart him, Sebastiano in a spirit of coruscating hatred, Michelangelo with a cooler sense of his own superiority. Inevitably, then, Raphael loomed over this exhibition and its catalog, his presence as commanding as it is often unacknowledged.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Michelangelo claimed that he had taught Raphael everything he knew about art, but this exhibition made it clear that their exchange passed in both directions (as we can see from the Raphaels in the National Gallery’s permanent collection). As for Sebastiano, despite his fuming about “the prince of the synagogue,” he knew good artistic ideas when he saw them and never hesitated to put them into practice. Artists have always borrowed from other artists, and these three drew from everyone and everything: one another, Leonardo, Piero della Francesca, classical sculptures, early Christian mosaics, ancient manuscripts, Roman ruins, beautiful women, silk, wiggling babies, and the endless bounty of nature.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Alessandro Vasari/Church of San Vincenzo Martire, Monastero dei Silvestrini, Bassano Romano</w:t>
      </w:r>
    </w:p>
    <w:p w:rsidR="00000000" w:rsidDel="00000000" w:rsidP="00000000" w:rsidRDefault="00000000" w:rsidRPr="00000000">
      <w:pPr>
        <w:contextualSpacing w:val="0"/>
        <w:rPr/>
      </w:pPr>
      <w:r w:rsidDel="00000000" w:rsidR="00000000" w:rsidRPr="00000000">
        <w:rPr>
          <w:rtl w:val="0"/>
        </w:rPr>
        <w:t xml:space="preserve">Michelangelo: The Risen Christ (The Giustiniani Christ), 1514–1515, finished by an unknown artist in the early seventeenth century</w:t>
      </w:r>
    </w:p>
    <w:p w:rsidR="00000000" w:rsidDel="00000000" w:rsidP="00000000" w:rsidRDefault="00000000" w:rsidRPr="00000000">
      <w:pPr>
        <w:contextualSpacing w:val="0"/>
        <w:rPr/>
      </w:pPr>
      <w:r w:rsidDel="00000000" w:rsidR="00000000" w:rsidRPr="00000000">
        <w:rPr>
          <w:rtl w:val="0"/>
        </w:rPr>
        <w:t xml:space="preserve">For his Viterbo Pietà, therefore, Sebastiano combined Michelangelo’s command of anatomy with his own command of mood and color, setting the scene of Mary’s bereavement in a desolate, moonlit landscape between an ancient ruin and a run-down wooden shed on the edge of a turreted city. The beautiful body of Christ, silvery in the moonglow, extends across the bottom of the painting, stretched out somewhat awkwardly on a brilliant white winding sheet. When the panel was set in place, it would have been visible just above the altar table, a reminder to the faithful that the rite of communion would transform the bread of the Host into this very same divine body (a belief that Protestant reformers would question only a few years later).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Unlike the youthful Virgin Mary of Michelangelo’s Vatican Pietà, Sebastiano’s Mary is portrayed as a plain-featured, small-headed older woman, with a sturdy body and an athlete’s neck, dressed in robes of a shimmering ultramarine blue ground from pure lapis lazuli. Most striking of all is the silver-lit nocturnal landscape—there is a full moon emerging from the clouds above Mary’s head—with the volcanic crags of Viterbo standing in for the limestone hills of Jerusalem. Night scenes were rare but not unknown in medieval and Renaissance art, and Sebastiano’s painting also drew inspiration from the menacing cloud formations of The Tempest, the enigmatic painting his master Giorgione had made in Venice around 1508.</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At almost the same moment, Raphael created his own nocturne, The Liberation of Saint Peter, for the Vatican Palace, concentrating, like Sebastiano, on the contrast between cool moonlight and the red-orange hints of sunlight on the horizon. Raphael, however, painted his night scene in masterful fresco. Matthias Wivel’s catalog essay gallantly credits Sebastiano with the initial idea, but no definite evidence survives to indicate who inspired whom (and their joint source may well have been Leonardo, who was in Rome at the time). It hardly matters. Both artists would spend the rest of their careers exploring the atmospheric effects that occur in the border zone between day and night, and setting intense light against varying degrees of darkness.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From this bumpy beginning, Sebastiano went on to a successful career in Rome. In late 1516, one of his most illustrious admirers, Cardinal Giulio de’ Medici, nephew of Lorenzo the Magnificent and cousin of the reigning pope, Leo X, set him the ultimate challenge: he asked both Sebastiano and Raphael to create altarpieces for the cathedral of Narbonne, France, the cardinal’s new diocese. Working in oil on monumental wooden panels, the painters would inevitably compete with each other, a time-honored patron’s ploy to get the best work from each artist in the shortest amount of time.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Michelangelo had returned to Florence by then, but he and Sebastiano kept in close touch about the commission, for which Michelangelo would once again supply drawings. Three letters concerning the cathedral of Narbonne were on display in London, written in Sebastiano’s large, neat hand—both he and Michelangelo wrote in an expansive, confident script. His spelling shows that he continued to communicate in Venetian dialect; his speech must have had the lilting cadence that Venetians ascribe to the ebb and flow of the city’s canals.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Sebastiano’s painting shows the moment when Jesus calls the dead youth Lazarus forth from the grave and restores him to life. As he boasted to his mentor, the final composition of this Raising of Lazarus involved no fewer than forty figures, as well as some vertiginous perspective effects, and exploited the sheer drama of the story itself. Michelangelo furnished the preparatory drawing for the figure of Lazarus, a heroic nude still wrapped in his burial shroud, as well as sketches for some of the bystanders. The biblical description of this event (John 11:39) asserts that Lazarus still smelled of the grave when Jesus called him forth from his tomb; he had been dead for four days already. Some of Sebastiano’s spectators shrink back from the stench, but the young man’s resurrected body is already restored to glorious perfection.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Sebastiano presented the completed painting to Cardinal de’ Medici in May 1519. From one of his letters to Michelangelo, it seems clear that the outcome of the contest with Raphael was never in question. Sebastiano reports that Cardinal Giulio “told me that I had given him more satisfaction than he was expecting.” Raphael took four more months to complete his Transfiguration. Before he could deliver it, he died of a sudden fever on April 6, 1520, his thirty-seventh birthday. Four nights later, Agostino Chigi expired in his own ebony bed with its ivory inlay, at the age of fifty-three.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Sebastiano could draw a certain satisfaction from the fact that his Raising of Lazarus was the painting Cardinal de’ Medici decided to send to the cathedral of Narbonne. He may have been less happy to realize that the cardinal simply could not bear to part with Raphael’s Transfiguration, which entered his private collection. (It is now in the Vatican Museum.) Today, Sebastiano’s Raising of Lazarus bears the National Gallery’s accession number NG1; purchased in 1824, it forms the cornerstone of the collection, an outstanding example of the classically inspired painting of Renaissance Rome.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Museo di Capodimonte, Naples</w:t>
      </w:r>
    </w:p>
    <w:p w:rsidR="00000000" w:rsidDel="00000000" w:rsidP="00000000" w:rsidRDefault="00000000" w:rsidRPr="00000000">
      <w:pPr>
        <w:contextualSpacing w:val="0"/>
        <w:rPr/>
      </w:pPr>
      <w:r w:rsidDel="00000000" w:rsidR="00000000" w:rsidRPr="00000000">
        <w:rPr>
          <w:rtl w:val="0"/>
        </w:rPr>
        <w:t xml:space="preserve">Sebastiano del Piombo: Portrait of Pope Clement VII, circa 1525–1526</w:t>
      </w:r>
    </w:p>
    <w:p w:rsidR="00000000" w:rsidDel="00000000" w:rsidP="00000000" w:rsidRDefault="00000000" w:rsidRPr="00000000">
      <w:pPr>
        <w:contextualSpacing w:val="0"/>
        <w:rPr/>
      </w:pPr>
      <w:r w:rsidDel="00000000" w:rsidR="00000000" w:rsidRPr="00000000">
        <w:rPr>
          <w:rtl w:val="0"/>
        </w:rPr>
        <w:t xml:space="preserve">Sebastiano also excelled as a portraitist. The National Gallery displayed two of his most famous examples: both portraits of Giulio de’ Medici, the same Giulio who commissioned The Raising of Lazarus and who became Pope Clement VII in 1523. The earlier of these images, a half-length oil painting on a wooden panel, shows the darkly handsome (if slightly pear-shaped) pope a year or two after his election, looking off to one side as he sits restlessly on his throne, isolated against a moonlit night sky. (We do not see the moon, but we can infer its presence from the beams it casts.)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moonlight, beyond the visual pleasure of its silvery shimmer on the velvet pile of Clement’s capelet, may suggest an association with Endymion, the young shepherd from Asia Minor who, according to Greek myth, attracted the attention of the moon goddess Diana. While Endymion slept among his flock at night, she swooped down from Olympus to kiss him on the sly. Pope Clement’s friend and spiritual adviser Cardinal Giles (Egidio) of Viterbo declared in one of his theological tracts that Endymion could be seen as a Christian image of the human soul, enveloped in God’s love but often as dimly oblivious to its condition as the sleepy shepherd was to the caresses of his divine lover.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Sebastiano’s Clement, on the other hand, is watching something attentively. This Endymion, the painting seems to suggest, is a Good Shepherd with his wits about him. Clement’s taut posture—seated in an armchair in red and white papal attire—deliberately evokes Raphael’s famous portrait of an earlier pope, Julius II, as a man of action eager to spring from his throne; it is easy to make the comparison, because Raphael’s painting is one of the National Gallery’s greatest treasures. Raphael’s Julius, however, is wrapped up in his own thoughts, and some of the discomfort in his posture stems from the pains of old age. Sebastiano’s Clement, by contrast, is attuned to the world around him, although he seems to regard it with a certain hauteur.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Unfortunately, Clement was not alert enough to read the signs of his turbulent times. Martin Luther may have set off the Reformation during the reign of Leo X, but the movement spread like wildfire under Clement’s watch. Rome itself was caught up in the increasing violence of the conflict in 1527, when some 12,000 mercenary troops, many of them Swiss Protestants, were released from serving Holy Roman Emperor Charles V in central Italy. Rather than return home, these soldiers of fortune saw easy money to be made by ransacking the Eternal City, which they did for nearly a year of brutal mayhem (as a comparison, Alaric and the Visigoths stayed only three days in the great sack of 410).</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Clement was forced to slink out of the Vatican down the fortified corridor to Castel Sant’Angelo, the huge concrete tomb of the emperor Hadrian transformed into a papal fortress. There, like an ancient Roman patrician (and like Pope Julius before him), he grew a beard as a sign of mourning. Sebastiano painted him in this penitential mood, circa 1531—a much smaller head portrait in profile—using oil paint applied to slate, the deep, somber gray of the stone enhancing the pontiff’s grim demeanor. The arrogance and self-consciousness of the earlier portrait are gone. By painting on stone, as he wrote to Michelangelo, Sebastiano hoped to make his image of the penitent pope last an eternity.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Sebastiano experimented widely with painting on stone, as we learn from his biographer Giorgio Vasari, a much younger contemporary (Vasari was born in 1511). He also took on a challenge that Leonardo and Raphael had never mastered successfully: painting with oil on plaster. In 1516, shortly before the painting contest with Raphael took place, the newlywed banker Pierfrancesco Borgherini, a Florentine with an office in Rome, commissioned Sebastiano to decorate a side chapel in the church of San Pietro in Montorio, knowing that Michelangelo would almost certainly contribute to the project as well. Endowed by the Spanish Crown, perched high on the Janiculum hill with a panoramic view of the city, San Pietro in Montorio was one of Rome’s most fashionable churches. True to expectations, Michelangelo supplied most of the drawings, but it was Sebastiano who carried out the painting, after priming the chapel wall with an experimental mixture that has successfully held the pigment in place for half a millennium. Vasari reported that the secret mix included “mastic and Greek pitch [pine resin], melted in the fire and applied to the wall with a red-hot trowel,” and praised its durability.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With the help of Italian specialists, the National Gallery installed a full-size reproduction of the Borgherini Chapel in one of its exhibition rooms. The high-resolution photographs of the paintings that were applied to the facsimile chapel (combining over 2,400 overlapping images) are uncannily good. The reconstruction serves a significant practical purpose: because the chapel itself takes the form of a curved niche sunk into the right-hand wall of the church, viewers can see, in all three dimensions, how cleverly Sebastiano exploited the chapel’s curvature to lend more depth to the already expert perspective of his Flagellation of Christ. The figure of Jesus slumped before a majestic colored marble column clearly follows a design by Michelangelo, and local rumors quickly decreed that the Florentine had come down to Rome to paint it himself. He did not—the work, on its specially prepared plaster, was certainly executed by Sebastiano—but it represents one of the high points of their collaboration.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Michelangelo had recently carved a heroically classical Risen Christ for the Dominican church of Santa Maria sopra Minerva in Rome—actually, he had carved two. As he shaped the face of the first version, he uncovered a dark gray vein in the luminous white Carrara marble. Marble is usually veined, but this vein occurred in an inconvenient place—Christ’s face. Michelangelo managed to reduce it to a fine vertical line just to the left of Christ’s nose, so cleverly concealed as to be almost unnoticeable, but he knew it was there and redid the entire statue, taking the opportunity, as he always did, to make adjustments everywhere: to the pose, to the angle of the Cross, to Christ’s proportions. The National Gallery brought the first version from Bassano Romano, a hamlet between Rome and Viterbo, where the statue, retouched in subsequent centuries, graces a local monastic church (see illustration on page 23). The better-known second version, still in its original setting in Rome, appeared as a cast, allowing us to register all the differences between the two, major and minor.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Inevitably, the exhibition also brought out the main reason why Sebastiano, for all his skill, is less well known than Titian, Raphael, or Michelangelo. Both Vasari and Michelangelo accused him of laziness. Agostino Chigi may well have come to the same conclusion as early as 1512. The banker was famous for his parties, and Vasari reports that Sebastiano always enjoyed partying more than painting. (He also tells how Chigi convinced a lovesick Raphael to finish a project by locking him into the “Pleasure Garden” with his mistress until the job was done.) When Pope Clement awarded Sebastiano the lucrative post of “Master of the Lead Seals” (maestro del piombo), the artist, married with children, complied with the requirement that he take holy orders and earned the nickname by which we know him, “Sebastiano del Piombo.”</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One painting by Sebastiano del Piombo is a revelation; a dozen paintings by him are enough to reveal all the formulas by which he worked—and avoided working. His best figure drawings were Michelangelo’s, not his own—this was the point of the London exhibition, and in fact it was the request for yet another drawing that finally drove Michelangelo to accuse his friend of laziness. Sebastiano’s ideal figures, both men and women, all have the same straight “classical” nose with large, flaring nostrils, drawn apparently from one ancient statue, the Apollo Belvedere. Clement VII is so strikingly handsome precisely because his nose is longer and more pointed than Sebastiano’s standard: it lends him character. Every single one of these noses, including Clement’s, is highlighted, virtually without exception, by a white brushstroke down the ridge and a white dot at the tip.</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Portraiture gave the artist real, idiosyncratic faces to work with, real clothing, and real objects. Without competition with Raphael to sting him and reality to catch his eye, he falls back on the same poses, the same generic robes, the same expressions. Like another famously lazy painter, Andrea del Sarto, Sebastiano concentrates on the center of his paintings and neglects the corners—they both painted so beautifully in those centers that we can forgive them the corners, at least until Paolo Veronese reminds us what a clever corner can do. Sebastiano’s backgrounds, even the eerie Viterbo of his Pietà, are simplified landscapes, with at most four layers of detail as they recede into space. Raphael usually provides twice as many layers: houses, hills, rivers, towers.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latest paintings in the London exhibition were listless replicas of earlier work. Sebastiano responded to critics, according to Vasari, by saying: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Now that I have a living, I don’t want to do anything, because today there are talents in the world who take two months to accomplish what used to take me two years, and I believe that if I live much longer, which I don’t expect to, that we’ll see everything in the world painted, and these guys are doing so much, it’s better for someone to do nothing, so that they’ll have something more to do.</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“And with that,” Vasari concludes, “and other pleasantries, Brother Sebastiano went his merry way, always charming and pleasant, and in truth there was never a better companion than he.”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But if it’s a painter you want, go, like Agostino Chigi, with Raphael.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