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Readings for September 10 2017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True American</w:t>
      </w:r>
    </w:p>
    <w:p w:rsidR="00000000" w:rsidDel="00000000" w:rsidP="00000000" w:rsidRDefault="00000000" w:rsidRPr="00000000">
      <w:pPr>
        <w:contextualSpacing w:val="0"/>
        <w:rPr/>
      </w:pPr>
      <w:r w:rsidDel="00000000" w:rsidR="00000000" w:rsidRPr="00000000">
        <w:rPr>
          <w:rtl w:val="0"/>
        </w:rPr>
        <w:t xml:space="preserve">Robert Pogue Harrison AUGUST 17, 2017 ISSUE</w:t>
      </w:r>
    </w:p>
    <w:p w:rsidR="00000000" w:rsidDel="00000000" w:rsidP="00000000" w:rsidRDefault="00000000" w:rsidRPr="00000000">
      <w:pPr>
        <w:contextualSpacing w:val="0"/>
        <w:rPr/>
      </w:pPr>
      <w:r w:rsidDel="00000000" w:rsidR="00000000" w:rsidRPr="00000000">
        <w:rPr>
          <w:rtl w:val="0"/>
        </w:rPr>
        <w:t xml:space="preserve">Henry David Thoreau: A Life</w:t>
      </w:r>
    </w:p>
    <w:p w:rsidR="00000000" w:rsidDel="00000000" w:rsidP="00000000" w:rsidRDefault="00000000" w:rsidRPr="00000000">
      <w:pPr>
        <w:contextualSpacing w:val="0"/>
        <w:rPr/>
      </w:pPr>
      <w:r w:rsidDel="00000000" w:rsidR="00000000" w:rsidRPr="00000000">
        <w:rPr>
          <w:rtl w:val="0"/>
        </w:rPr>
        <w:t xml:space="preserve">by Laura Dassow Walls</w:t>
      </w:r>
    </w:p>
    <w:p w:rsidR="00000000" w:rsidDel="00000000" w:rsidP="00000000" w:rsidRDefault="00000000" w:rsidRPr="00000000">
      <w:pPr>
        <w:contextualSpacing w:val="0"/>
        <w:rPr/>
      </w:pPr>
      <w:r w:rsidDel="00000000" w:rsidR="00000000" w:rsidRPr="00000000">
        <w:rPr>
          <w:rtl w:val="0"/>
        </w:rPr>
        <w:t xml:space="preserve">University of Chicago Press, 615 pp., $35.00</w:t>
      </w:r>
    </w:p>
    <w:p w:rsidR="00000000" w:rsidDel="00000000" w:rsidP="00000000" w:rsidRDefault="00000000" w:rsidRPr="00000000">
      <w:pPr>
        <w:contextualSpacing w:val="0"/>
        <w:rPr/>
      </w:pPr>
      <w:r w:rsidDel="00000000" w:rsidR="00000000" w:rsidRPr="00000000">
        <w:rPr>
          <w:rtl w:val="0"/>
        </w:rPr>
        <w:t xml:space="preserve">Walden</w:t>
      </w:r>
    </w:p>
    <w:p w:rsidR="00000000" w:rsidDel="00000000" w:rsidP="00000000" w:rsidRDefault="00000000" w:rsidRPr="00000000">
      <w:pPr>
        <w:contextualSpacing w:val="0"/>
        <w:rPr/>
      </w:pPr>
      <w:r w:rsidDel="00000000" w:rsidR="00000000" w:rsidRPr="00000000">
        <w:rPr>
          <w:rtl w:val="0"/>
        </w:rPr>
        <w:t xml:space="preserve">by Henry David Thoreau, with an introduction and annotations by Bill McKibben</w:t>
      </w:r>
    </w:p>
    <w:p w:rsidR="00000000" w:rsidDel="00000000" w:rsidP="00000000" w:rsidRDefault="00000000" w:rsidRPr="00000000">
      <w:pPr>
        <w:contextualSpacing w:val="0"/>
        <w:rPr/>
      </w:pPr>
      <w:r w:rsidDel="00000000" w:rsidR="00000000" w:rsidRPr="00000000">
        <w:rPr>
          <w:rtl w:val="0"/>
        </w:rPr>
        <w:t xml:space="preserve">Beacon, 312 pp., $10.95 (paper)</w:t>
      </w:r>
    </w:p>
    <w:p w:rsidR="00000000" w:rsidDel="00000000" w:rsidP="00000000" w:rsidRDefault="00000000" w:rsidRPr="00000000">
      <w:pPr>
        <w:contextualSpacing w:val="0"/>
        <w:rPr/>
      </w:pPr>
      <w:r w:rsidDel="00000000" w:rsidR="00000000" w:rsidRPr="00000000">
        <w:rPr>
          <w:rtl w:val="0"/>
        </w:rPr>
        <w:t xml:space="preserve">Expect Great Things: The Life and Search of Henry David Thoreau</w:t>
      </w:r>
    </w:p>
    <w:p w:rsidR="00000000" w:rsidDel="00000000" w:rsidP="00000000" w:rsidRDefault="00000000" w:rsidRPr="00000000">
      <w:pPr>
        <w:contextualSpacing w:val="0"/>
        <w:rPr/>
      </w:pPr>
      <w:r w:rsidDel="00000000" w:rsidR="00000000" w:rsidRPr="00000000">
        <w:rPr>
          <w:rtl w:val="0"/>
        </w:rPr>
        <w:t xml:space="preserve">by Kevin Dann</w:t>
      </w:r>
    </w:p>
    <w:p w:rsidR="00000000" w:rsidDel="00000000" w:rsidP="00000000" w:rsidRDefault="00000000" w:rsidRPr="00000000">
      <w:pPr>
        <w:contextualSpacing w:val="0"/>
        <w:rPr/>
      </w:pPr>
      <w:r w:rsidDel="00000000" w:rsidR="00000000" w:rsidRPr="00000000">
        <w:rPr>
          <w:rtl w:val="0"/>
        </w:rPr>
        <w:t xml:space="preserve">TarcherPerigee, 387 pp., $30.00</w:t>
      </w:r>
    </w:p>
    <w:p w:rsidR="00000000" w:rsidDel="00000000" w:rsidP="00000000" w:rsidRDefault="00000000" w:rsidRPr="00000000">
      <w:pPr>
        <w:contextualSpacing w:val="0"/>
        <w:rPr/>
      </w:pPr>
      <w:r w:rsidDel="00000000" w:rsidR="00000000" w:rsidRPr="00000000">
        <w:rPr>
          <w:rtl w:val="0"/>
        </w:rPr>
        <w:t xml:space="preserve">Thoreau’s Animals</w:t>
      </w:r>
    </w:p>
    <w:p w:rsidR="00000000" w:rsidDel="00000000" w:rsidP="00000000" w:rsidRDefault="00000000" w:rsidRPr="00000000">
      <w:pPr>
        <w:contextualSpacing w:val="0"/>
        <w:rPr/>
      </w:pPr>
      <w:r w:rsidDel="00000000" w:rsidR="00000000" w:rsidRPr="00000000">
        <w:rPr>
          <w:rtl w:val="0"/>
        </w:rPr>
        <w:t xml:space="preserve">by Henry David Thoreau, edited by Geoff Wisner and illustrated by Debby Cotter Kaspari</w:t>
      </w:r>
    </w:p>
    <w:p w:rsidR="00000000" w:rsidDel="00000000" w:rsidP="00000000" w:rsidRDefault="00000000" w:rsidRPr="00000000">
      <w:pPr>
        <w:contextualSpacing w:val="0"/>
        <w:rPr/>
      </w:pPr>
      <w:r w:rsidDel="00000000" w:rsidR="00000000" w:rsidRPr="00000000">
        <w:rPr>
          <w:rtl w:val="0"/>
        </w:rPr>
        <w:t xml:space="preserve">Yale University Press, 256 pp., $30.00</w:t>
      </w:r>
    </w:p>
    <w:p w:rsidR="00000000" w:rsidDel="00000000" w:rsidP="00000000" w:rsidRDefault="00000000" w:rsidRPr="00000000">
      <w:pPr>
        <w:contextualSpacing w:val="0"/>
        <w:rPr/>
      </w:pPr>
      <w:r w:rsidDel="00000000" w:rsidR="00000000" w:rsidRPr="00000000">
        <w:rPr>
          <w:rtl w:val="0"/>
        </w:rPr>
        <w:t xml:space="preserve">Thoreau and the Language of Trees</w:t>
      </w:r>
    </w:p>
    <w:p w:rsidR="00000000" w:rsidDel="00000000" w:rsidP="00000000" w:rsidRDefault="00000000" w:rsidRPr="00000000">
      <w:pPr>
        <w:contextualSpacing w:val="0"/>
        <w:rPr/>
      </w:pPr>
      <w:r w:rsidDel="00000000" w:rsidR="00000000" w:rsidRPr="00000000">
        <w:rPr>
          <w:rtl w:val="0"/>
        </w:rPr>
        <w:t xml:space="preserve">by Richard Higgins, with a foreword by Robert D. Richardson and photographs by Richard Higgins</w:t>
      </w:r>
    </w:p>
    <w:p w:rsidR="00000000" w:rsidDel="00000000" w:rsidP="00000000" w:rsidRDefault="00000000" w:rsidRPr="00000000">
      <w:pPr>
        <w:contextualSpacing w:val="0"/>
        <w:rPr/>
      </w:pPr>
      <w:r w:rsidDel="00000000" w:rsidR="00000000" w:rsidRPr="00000000">
        <w:rPr>
          <w:rtl w:val="0"/>
        </w:rPr>
        <w:t xml:space="preserve">University of California Press, 230 pp., $24.95</w:t>
      </w:r>
    </w:p>
    <w:p w:rsidR="00000000" w:rsidDel="00000000" w:rsidP="00000000" w:rsidRDefault="00000000" w:rsidRPr="00000000">
      <w:pPr>
        <w:contextualSpacing w:val="0"/>
        <w:rPr/>
      </w:pPr>
      <w:r w:rsidDel="00000000" w:rsidR="00000000" w:rsidRPr="00000000">
        <w:rPr>
          <w:rtl w:val="0"/>
        </w:rPr>
        <w:t xml:space="preserve">The Boatman: Henry David Thoreau’s River Years</w:t>
      </w:r>
    </w:p>
    <w:p w:rsidR="00000000" w:rsidDel="00000000" w:rsidP="00000000" w:rsidRDefault="00000000" w:rsidRPr="00000000">
      <w:pPr>
        <w:contextualSpacing w:val="0"/>
        <w:rPr/>
      </w:pPr>
      <w:r w:rsidDel="00000000" w:rsidR="00000000" w:rsidRPr="00000000">
        <w:rPr>
          <w:rtl w:val="0"/>
        </w:rPr>
        <w:t xml:space="preserve">by Robert M. Thorson</w:t>
      </w:r>
    </w:p>
    <w:p w:rsidR="00000000" w:rsidDel="00000000" w:rsidP="00000000" w:rsidRDefault="00000000" w:rsidRPr="00000000">
      <w:pPr>
        <w:contextualSpacing w:val="0"/>
        <w:rPr/>
      </w:pPr>
      <w:r w:rsidDel="00000000" w:rsidR="00000000" w:rsidRPr="00000000">
        <w:rPr>
          <w:rtl w:val="0"/>
        </w:rPr>
        <w:t xml:space="preserve">Harvard University Press, 315 pp., $29.95</w:t>
      </w:r>
    </w:p>
    <w:p w:rsidR="00000000" w:rsidDel="00000000" w:rsidP="00000000" w:rsidRDefault="00000000" w:rsidRPr="00000000">
      <w:pPr>
        <w:contextualSpacing w:val="0"/>
        <w:rPr/>
      </w:pPr>
      <w:r w:rsidDel="00000000" w:rsidR="00000000" w:rsidRPr="00000000">
        <w:rPr>
          <w:rtl w:val="0"/>
        </w:rPr>
        <w:t xml:space="preserve">This Ever New Self: Thoreau and His Journal</w:t>
      </w:r>
    </w:p>
    <w:p w:rsidR="00000000" w:rsidDel="00000000" w:rsidP="00000000" w:rsidRDefault="00000000" w:rsidRPr="00000000">
      <w:pPr>
        <w:contextualSpacing w:val="0"/>
        <w:rPr/>
      </w:pPr>
      <w:r w:rsidDel="00000000" w:rsidR="00000000" w:rsidRPr="00000000">
        <w:rPr>
          <w:rtl w:val="0"/>
        </w:rPr>
        <w:t xml:space="preserve">an exhibition at the Morgan Library and Museum, New York City, June 2–September 10, 2017; and the Concord Museum, Concord, Massachusetts, September 29, 2017–January 21, 2018</w:t>
      </w:r>
    </w:p>
    <w:p w:rsidR="00000000" w:rsidDel="00000000" w:rsidP="00000000" w:rsidRDefault="00000000" w:rsidRPr="00000000">
      <w:pPr>
        <w:contextualSpacing w:val="0"/>
        <w:rPr/>
      </w:pPr>
      <w:r w:rsidDel="00000000" w:rsidR="00000000" w:rsidRPr="00000000">
        <w:rPr>
          <w:rtl w:val="0"/>
        </w:rPr>
        <w:t xml:space="preserve">When I Came to Die: Process and Prophecy in Thoreau’s Vision of Dying</w:t>
      </w:r>
    </w:p>
    <w:p w:rsidR="00000000" w:rsidDel="00000000" w:rsidP="00000000" w:rsidRDefault="00000000" w:rsidRPr="00000000">
      <w:pPr>
        <w:contextualSpacing w:val="0"/>
        <w:rPr/>
      </w:pPr>
      <w:r w:rsidDel="00000000" w:rsidR="00000000" w:rsidRPr="00000000">
        <w:rPr>
          <w:rtl w:val="0"/>
        </w:rPr>
        <w:t xml:space="preserve">by Audrey Raden</w:t>
      </w:r>
    </w:p>
    <w:p w:rsidR="00000000" w:rsidDel="00000000" w:rsidP="00000000" w:rsidRDefault="00000000" w:rsidRPr="00000000">
      <w:pPr>
        <w:contextualSpacing w:val="0"/>
        <w:rPr/>
      </w:pPr>
      <w:r w:rsidDel="00000000" w:rsidR="00000000" w:rsidRPr="00000000">
        <w:rPr>
          <w:rtl w:val="0"/>
        </w:rPr>
        <w:t xml:space="preserve">University of Massachusetts Press, 156 pp., $90.00; $27.95 (paper)</w:t>
      </w:r>
    </w:p>
    <w:p w:rsidR="00000000" w:rsidDel="00000000" w:rsidP="00000000" w:rsidRDefault="00000000" w:rsidRPr="00000000">
      <w:pPr>
        <w:contextualSpacing w:val="0"/>
        <w:rPr/>
      </w:pPr>
      <w:r w:rsidDel="00000000" w:rsidR="00000000" w:rsidRPr="00000000">
        <w:rPr>
          <w:rtl w:val="0"/>
        </w:rPr>
        <w:t xml:space="preserve">Bird Relics: Grief and Vitalism in Thoreau</w:t>
      </w:r>
    </w:p>
    <w:p w:rsidR="00000000" w:rsidDel="00000000" w:rsidP="00000000" w:rsidRDefault="00000000" w:rsidRPr="00000000">
      <w:pPr>
        <w:contextualSpacing w:val="0"/>
        <w:rPr/>
      </w:pPr>
      <w:r w:rsidDel="00000000" w:rsidR="00000000" w:rsidRPr="00000000">
        <w:rPr>
          <w:rtl w:val="0"/>
        </w:rPr>
        <w:t xml:space="preserve">by Branka Arsić</w:t>
      </w:r>
    </w:p>
    <w:p w:rsidR="00000000" w:rsidDel="00000000" w:rsidP="00000000" w:rsidRDefault="00000000" w:rsidRPr="00000000">
      <w:pPr>
        <w:contextualSpacing w:val="0"/>
        <w:rPr/>
      </w:pPr>
      <w:r w:rsidDel="00000000" w:rsidR="00000000" w:rsidRPr="00000000">
        <w:rPr>
          <w:rtl w:val="0"/>
        </w:rPr>
        <w:t xml:space="preserve">Harvard Universtiy Press, 455 pp., $51.50</w:t>
      </w:r>
    </w:p>
    <w:p w:rsidR="00000000" w:rsidDel="00000000" w:rsidP="00000000" w:rsidRDefault="00000000" w:rsidRPr="00000000">
      <w:pPr>
        <w:contextualSpacing w:val="0"/>
        <w:rPr/>
      </w:pPr>
      <w:r w:rsidDel="00000000" w:rsidR="00000000" w:rsidRPr="00000000">
        <w:rPr>
          <w:rtl w:val="0"/>
        </w:rPr>
        <w:t xml:space="preserve">Thoreau’s Wildflowers</w:t>
      </w:r>
    </w:p>
    <w:p w:rsidR="00000000" w:rsidDel="00000000" w:rsidP="00000000" w:rsidRDefault="00000000" w:rsidRPr="00000000">
      <w:pPr>
        <w:contextualSpacing w:val="0"/>
        <w:rPr/>
      </w:pPr>
      <w:r w:rsidDel="00000000" w:rsidR="00000000" w:rsidRPr="00000000">
        <w:rPr>
          <w:rtl w:val="0"/>
        </w:rPr>
        <w:t xml:space="preserve">by Henry David Thoreau, edited by Geoff Wisner and illustrated by Barry Moser</w:t>
      </w:r>
    </w:p>
    <w:p w:rsidR="00000000" w:rsidDel="00000000" w:rsidP="00000000" w:rsidRDefault="00000000" w:rsidRPr="00000000">
      <w:pPr>
        <w:contextualSpacing w:val="0"/>
        <w:rPr/>
      </w:pPr>
      <w:r w:rsidDel="00000000" w:rsidR="00000000" w:rsidRPr="00000000">
        <w:rPr>
          <w:rtl w:val="0"/>
        </w:rPr>
        <w:t xml:space="preserve">Yale University Press, 300 pp., $30.00</w:t>
      </w:r>
    </w:p>
    <w:p w:rsidR="00000000" w:rsidDel="00000000" w:rsidP="00000000" w:rsidRDefault="00000000" w:rsidRPr="00000000">
      <w:pPr>
        <w:contextualSpacing w:val="0"/>
        <w:rPr/>
      </w:pPr>
      <w:r w:rsidDel="00000000" w:rsidR="00000000" w:rsidRPr="00000000">
        <w:rPr>
          <w:rtl w:val="0"/>
        </w:rPr>
        <w:t xml:space="preserve">Henry Thoreau</w:t>
      </w:r>
    </w:p>
    <w:p w:rsidR="00000000" w:rsidDel="00000000" w:rsidP="00000000" w:rsidRDefault="00000000" w:rsidRPr="00000000">
      <w:pPr>
        <w:contextualSpacing w:val="0"/>
        <w:rPr/>
      </w:pPr>
      <w:r w:rsidDel="00000000" w:rsidR="00000000" w:rsidRPr="00000000">
        <w:rPr>
          <w:rtl w:val="0"/>
        </w:rPr>
        <w:t xml:space="preserve">Henry Thoreau; drawing by David Levine</w:t>
      </w:r>
    </w:p>
    <w:p w:rsidR="00000000" w:rsidDel="00000000" w:rsidP="00000000" w:rsidRDefault="00000000" w:rsidRPr="00000000">
      <w:pPr>
        <w:contextualSpacing w:val="0"/>
        <w:rPr/>
      </w:pPr>
      <w:r w:rsidDel="00000000" w:rsidR="00000000" w:rsidRPr="00000000">
        <w:rPr>
          <w:rtl w:val="0"/>
        </w:rPr>
        <w:t xml:space="preserve">This year America celebrates the bicentennial birthday of Henry David Thoreau with many excellent publications about his life, legacy, and love of the natural world. Only his fellow citizens are likely to lend an ear to them. Unlike his friend Ralph Waldo Emerson, Thoreau hardly makes it onto the list of notable American authors outside his home country. His peculiar brand of American nativism has little international appeal, for as Emerson wrote in his funeral eulogy of May 9, 1862:</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No truer American existed than Thoreau. His preference of his country and condition was genuine, and his aversation from English and European manners and tastes almost reached contempt.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These days the question of what it means to be a “true” American resists rational analysis. Whatever one can say about Americans that is true, the opposite is equally true. We are the most godless and most religious, the most puritanical and most libertine, the most charitable and most heartless of societies. We espouse the maxim “that government is best which governs least,” yet look to government to address our every problem. Our environmental conscientiousness is outmatched only by our environmental recklessness. We are outlaws obsessed by the rule of law, individualists devoted to communitarian values, a nation of fat people with anorexic standards of beauty. The only things we love more than nature’s wilderness are our cars, malls, and digital technology. The paradoxes of the American psyche go back at least as far as our Declaration of Independence, in which slave owners proclaimed that all men are endowed by their creator with an unalienable right to liberty.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this sense Thoreau was truly American. In her splendid new biography, Henry David Thoreau: A Life, Laura Dassow Walls, a professor of English literature at the University of Notre Dame, offers a multifaceted view of the many contradictions of his personality.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Thoreau has come “down to us in ice, chilled into a misanthrope, prickly with spines, isolated as a hermit and nag,” she writes, acknowledging that he did his fair share to earn that reputation. He was prickly enough that their friend Elizabeth Hoar confided to Emerson, “I love Henry, but do not like him; and as for taking his arm, I should as soon take the arm of an elm tree.” From early on people accused him of hypocrisy, censuring him for championing self-sufficiency while he occasionally returned home for dinner during the years he lived at Walden Pond. (“No other male American writer has been so discredited for enjoying a meal with loved ones or for not doing his own laundry,” writes Walls.)1</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Walls does not deny that Thoreau was “occasionally hermitous, and even a nag,” yet in her full-bodied portrait he comes alive also as “a loving son, a devoted friend, a lively and charismatic presence who filled the room, laughed and danced, sang and teased and wept.” The citizens of Concord loved him dearly because, in addition to being nettlesome, he was genuine and kind.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a finely tuned discussion of his ambivalent sexuality—one that avoids excessive speculation without avoiding the topic altogether, as many scholars tend to do—Walls concludes that Thoreau, who probably died a virgin, was drawn to men and women equally. With Aristophanic flair, he noted in his journal: “I love men with the same distinction that I love woman—as if my friend were of some third sex.”</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Thoreau’s friendship with Margaret Fuller—editor of the Transcendentalist journal The Dial—reveals the extent to which he was free of resentment, vanity, or sexism. In 1840, when he submitted an ambitious essay and a poem to The Dial, Fuller sent him a rejection letter that would have unhinged most other nineteenth-century American men with a Harvard degree, saying of the essay that its thoughts were “so out of their natural order, that I cannot read it through without pain…but seem to hear the grating of tools on the mosaic.” As for the poem, she objected to its “want of fluent music,” comparing it to a “bare hill which the warm gales of spring have not visited.” Thoreau took her criticisms to heart and learned from them. They subsequently became good friends.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Was Thoreau egotistical? Surely, yet as Walls writes, “injustice to another made him storm with the passionate and sleepless rage that powered his great writings of political protest”—writings like “Civil Disobedience” and his fiery defense of the abolitionist John Brown.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His protests were not only political. Like Emerson, Thoreau believed that education was democracy’s highest calling. Upon graduating from Harvard in 1837, he was offered a dream job at Concord’s Center Grammar School, with a lofty salary of $500 a year. He made it clear when he accepted the teaching position that he did not believe in flogging students, yet after the deacon insisted that he administer “corporeal chastisement, the corner-stone of a sound education,” Thoreau disciplined some of his students with a ferule (he did not own a cowhide for flogging). He felt so stained by his act of “uncivil obedience” that he went to the deacon that same evening and resigned, ending his career as a public school teacher ten days after it had begun.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If Thoreau was a hermit, he had a strange way of expressing it. In 1842, three years before building his cabin at Walden Pond, he wrote in his journal: “I have no private good—unless it be my peculiar ability to serve the public—this is the only individual property.” By “public” Thoreau meant many things: the human community of Concord where he spent most of his life, rooted like a tree; the surrounding woods, waters, and wildlife that community shared in common; and the country at large. In everything he did and wrote, Thoreau identified himself first and foremost as a citizen, not only of his hometown and the American republic, but of the natural world that provided them with their material foundations.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Walls suggests that Frederick Douglass and the radical abolitionist Wendell Phillips played a decisive part in Thoreau’s decision to build a cabin at Walden and sojourn there for two years and two months. These abolitionists, each in his own way, convinced Thoreau that “a million men are of no importance compared with one man…[who is prepared] to do right.” Like them, Thoreau wanted to stand as a majority of one. “Any man more right than his neighbors constitutes a majority of one already,” he wrote in “Civil Disobedience.”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 was as a citizen of Concord, hence of America, that Thoreau took up residence at Walden on Independence Day 1845.2 He went there not to isolate himself but to situate himself “a mile from any neighbor”—distant enough for independence, yet close enough to remain within earshot. Walden addresses itself to “you…who are said to live in New England,” and its epigraph declares its intention “to wake my neighbors up.”</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Wake them up to what? To the fact that America was still waiting to be discovered, that his neighbors had given up prematurely on its promise of freedom, independence, and God’s heaven on earth. The Puritan pilgrims had brought with them to the New World an infinite expectation, only to succumb to disappointment after setting foot on a continent they saw as wild and harsh, not at all the Eden they had hoped for. Thoreau went to Walden to discover for himself whether America—“this new yet unapproachable America,” as Emerson called it—amounted to a false promise, or whether it did indeed contain a paradise that was not only approachable but touchable.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What he found is that “we occupy the heaven of the gods without knowing it.” Paradise exists all around us, in America’s “wildness,” the natural environment of the continent. In the contact between his own body and America’s forests, meadows, lakes, rivers, mountains, and animals, Thoreau discovered what he called “hard matter in its home.” That home was the “hard bottom” or “reality” that we crave. “I stand in awe of my body, this matter to which I am bound,” he wrote in his journal. “Daily to be shown matter, to come in contact with it,—rocks, trees, wind on our cheeks!… Contact! Contact!”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tactile transcendence of America’s wildness opens its prospects to those who would wake up to it. One need not travel to sublime mountain ranges or remote wilderness areas to access it. It lies before us, in what Thoreau called the day’s dawning. “We must learn to reawaken and keep ourselves awake, not by mechanical aids, but by an infinite expectation of the dawn.” Only such expectation brings forth that heightening of the senses that allows America to appear in its dawning ecstasies; and lest we take the notion of dawn too literally, Thoreau declares: “Morning is when I am awake and there is a dawn in 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 is impossible to overstate the importance of anticipation in Thoreau’s philosophy of sense perception and spiritual elevation. In another bicentennial biography, Expect Great Things, Kevin Dann lays great stress on the fact that for Thoreau “anticipation precedes discovery.” Dann’s biography concentrates more on Thoreau’s rich psychic life than on his multidimensional life as friend, family member, Concord citizen, political activist, and writer. Through a sympathetic reading of his journal above all, Dann seeks to gain access to the inward paradise of perception that Thoreau inhabited during the last decade or two of his life.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Dann argues that Thoreau cultivated the “thrilled and expectant mood” (Thoreau’s words) because he believed that we only see what we are prepared to see. According to Thoreau:</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Objects are concealed from our view not so much because they are out of the course of our visual ray as because there is no intention of the mind and eye toward them…. There is just as much beauty visible to us in the landscape as we are prepared to appreciate, not a grain more.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Thoreau believed in the shamanistic power of expectation. Dann’s biography in fact gets its title from what it takes to be a doctrinal statement that Thoreau recorded in his journal: “In the long run, we find what we expect. We shall be fortunate then if we expect great things.”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Yet it is not enough merely to expect. To deepen and expand the horizon of perception, one must acquire an exacting empirical knowledge of the natural world in its endless particularities, for the intention of the eye follows the intention of the mind. That is why, after graduating from Harvard, Thoreau spent a great deal of time studying the geology and ecology of New England, reading as many accounts as he could of its native species, whether by contemporaries or earlier generations of American naturalists, botanists, farmers, and explorers. In time he became a first-rate naturalist himself, adding his own discoveries to the archival record.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Concord Museum</w:t>
      </w:r>
    </w:p>
    <w:p w:rsidR="00000000" w:rsidDel="00000000" w:rsidP="00000000" w:rsidRDefault="00000000" w:rsidRPr="00000000">
      <w:pPr>
        <w:contextualSpacing w:val="0"/>
        <w:rPr/>
      </w:pPr>
      <w:r w:rsidDel="00000000" w:rsidR="00000000" w:rsidRPr="00000000">
        <w:rPr>
          <w:rtl w:val="0"/>
        </w:rPr>
        <w:t xml:space="preserve">Henry David Thoreau, 1861; ambrotype by Edward Sidney Dunshee</w:t>
      </w:r>
    </w:p>
    <w:p w:rsidR="00000000" w:rsidDel="00000000" w:rsidP="00000000" w:rsidRDefault="00000000" w:rsidRPr="00000000">
      <w:pPr>
        <w:contextualSpacing w:val="0"/>
        <w:rPr/>
      </w:pPr>
      <w:r w:rsidDel="00000000" w:rsidR="00000000" w:rsidRPr="00000000">
        <w:rPr>
          <w:rtl w:val="0"/>
        </w:rPr>
        <w:t xml:space="preserve">Thoreau’s Animals, edited and introduced by Geoff Wisner, offers an engaging and often entertaining selection of Thoreau’s writings about the wild and domestic animal species he came upon in the forests, farms, and wetlands in and around Concord. It is a companion volume to Thoreau’s Wildflowers, and together the two volumes throw into relief the degree to which Thoreau was almost superhumanly awake to the flora and fauna of his surrounding environment. There is more here than testimony of Thoreau’s much-vaunted “powers of observation.” The volumes offer clear evidence that in his later adult life Thoreau had thoroughly cleansed the doors of perception, and that the world appeared to him as infinite in its local manifestations.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same holds true for the enchanting book Thoreau and the Language of Trees, by Richard Higgins. In lucid and elegant prose, Higgins traces Thoreau’s deep love affair with various arboreal species, like the white pine of Maine, which, in a formulation that unsettled an editor, he claimed was “as immortal as I am, and perchance will go to as high a heaven, there to tower above me still.” Each of Higgins’s ten chapters contains an essay, followed by pertinent passages from Thoreau. One gets to the end of this book fully persuaded by Higgins’s claim that Thoreau was captivated by trees, and that “they played a significant role in his creativity as a writer, his work as a naturalist, his philosophical thought, and even his inner life.” In a beautiful touch, Higgins adds: “It sometimes seems that he could see the sap flowing beneath their bark.”</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Walden—republished by Beacon Press this year with an inspired introduction by Bill McKibben about Thoreau’s relevance to our own spiritually impoverished reality—is arguably the most important work of literary nonfiction in the American canon. Thanks to that book, subtitled “A Life in the Woods,” the image of Thoreau as a lover of woods and trees is entrenched in the American imagination. Yet in The Boatman, Robert M. Thorson reminds us that in the last decade of his life Thoreau devoted a great deal more attention to rivers, especially the three main rivers around Concord (the Sudbury, Assabet, and Concord, known to the seventeenth-century Puritans who settled the valley as the South, North, and Great Rivers). Thorson’s book offers the reader an in-depth account of Thoreau’s lifelong love of boats, his skill as a navigator, his intimate knowledge of the waterways around Concord, and his extensive survey of the Concord River.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“Henry’s unheralded river book is his journal,” writes Thorson. Thoreau’s Journal contains some two million words written over twenty years.3 The Journal is the main focus of an exhibition at the Morgan Library and Museum, “This Ever New Self: Thoreau and His Journal,” which brings together nearly one hundred relics of this American saint, including the small green desk on which he wrote most of his life work, the flute with which he enchanted Margaret Fuller and other humans and nonhumans alike, as well as more than twenty of his Journal notebooks, many of his letters, books from his personal library, the only two photographs for which he ever sat, and even some pressed plants from his herbarium. Those many readers and scholars who have increasingly come to consider Thoreau’s Journal his main literary achievement will want to make a pilgrimage this summer to the Morgan.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Both Thorson and Walls make a point of stressing that Thoreau was fully cognizant of what today we call the “anthropocene,” or the era when most of the planet has been touched or altered by human beings. When Thoreau embarked on an excursion to Mount Katahdin in Maine, for example, he imagined he would be venturing into pristine territory, only to find that humans had left their mark in even the state’s most remote regions. In his introduction to Walden, McKibben writes that Thoreau’s expedition “took him through the heart of that then-mighty wilderness,” yet as Walls remarks in a moving passage: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Even where the road ended, the houses did not, and even after the last house, there were logging camps and blacksmith forges, dams and log booms, trails rutted with use, even a billboard. The untouched forest had been logged, each tree cut and branded, its destiny not to reach for the heavens but to drop downstream through the falls to the sawmills.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Or as Thoreau noted in his journal: “It is vain to dream of a wildness distant from ourselves. There is none such.”</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Thoreau was either resigned to or remarkably sanguine about humanity’s transformative as well as destructive impact on nature. He did not approve of the way “human activity was now the dominant agency driving landscape change,” as Thorson puts it, yet he quietly accepted it as part of the ongoing, ever-changing history of the earth.</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What saved Thoreau from a gnashing of teeth was his awareness of how much wildness still surrounded him. One can’t help but marvel at the rapture that the sight of things like huckleberries, turtles, or wildflowers would inspire in him. There was clearly a sublimated libidinal surplus within him—nourished by his lifelong chastity—that rendered his relation to nature thoroughly erotic and ecstatic, even in the midst of the anthropocene spectacle in its most demoralizing forms.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Kevin Dann claims that “throughout his life, Thoreau was certain that his ‘property’—his soul—was immortal, destined to go to God again when he died.” That may or may not be true, yet it is certain that Thoreau believed there was more than enough heaven in this world to go around. For all his personal contradictions, he saw none between his immortal soul and the “hard matter” of his body, or between a transcendent heaven and a mortal earth.</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Thoreau declared that he went to the Walden woods “to front only the essential facts of life,” for he did not want, when it came time for him to die, to “discover that I had not lived.” In her poignant and eloquent book, When I Came to Die, Audrey Raden shows how, for Thoreau, death and dying were among the most essential facts of life, and that to live life to the fullest meant to live it in full awareness of its mortality.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Bird Relics, Branka Arsić delves into Thoreau’s writings, with particular attention to the Indian Notebooks and unpublished bird notebooks, to trace the way his thinking about nature developed over the years into a kind of pan-vitalism, which sees the generative forces of life at work in death, disease, and natural decay. For Thoreau the latter are not opposed to, but are part of, life. Arsić gives due emphasis to the crucial part that the death of his brother John played in Thoreau’s understanding of the all-encompassing force of life. Thoreau was so deeply bonded with his brother that, in a psychic if not physical sense, he died with John in 1842. His grief was as intense as it was prolonged and, as Arsić suggests, it helped incubate his philosophy of life. He emerged from it believing that whatever was alive in John lived on in the regenerative nature of the surrounding landscape. Thoreau’s grief lies behind his calm acceptance of death, which life absorbs back into itself and from which it engenders new life.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 is no doubt because he lived a life of daily contact with the real—with nature in its everyday miracles—that Thoreau died a “beautiful death,” as it was called in those days. It was beautiful not because it was painless (he died of tuberculosis in his family home at forty-four) but because he faced his approaching death with remarkable serenity and even cheerfulness, convinced that death was not so much the termination as the consummation of life.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When Thoreau’s abolitionist friend Parker Pillsbury visited him shortly before he died and found him “deathly weak and pale,” he took his hand and remarked to Thoreau, “I suppose this is the best you can do now.” Thoreau smiled and “gasped a faint assent.” When Pillsbury then said, “The outworks seem almost ready to give way,” Thoreau whispered, “Yes,—but as long as she cracks she holds.” This was a saying common among boys skating on the thinning ice of lakes and ponds, meaning that as long as the ice cracks, winter still holds.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By his own account Pillsbury then remarked to Thoreau, “You seem so near the dark river, that I almost wonder how the opposite shore may appear to you.” Thoreau’s answer remains, for all intents and purposes, his last word: “One world at a time.”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Thoreau had an almost mystical reverence for facts, above all the fact of death. In Walden he wrote: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If you stand right fronting and face to face to a fact, you will see the sun glimmer on both its surfaces, as if it were a cimeter, and feel its sweet edge dividing you through the heart and marrow, and so you will happily conclude your mortal career. Be it life or death, we crave only reality.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Among Americans nothing has more authority than facts. Of course the contrary is also true (a quarter of Americans believe the sun revolves around the earth; more than three quarters believe there is indisputable evidence that aliens have visited our planet). Is it true that we crave reality? Yes, but we crave irreality just as much if not more. Our addiction to our television, computer, and cell phone screens confirms as much. As for death, it does not seem that today we have a knack for concluding our mortal careers “happily.”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 believe there are two immensely important Thoreauvian legacies that call out for retrieval among his fellow citizens today. One is learning to live deliberately, fronting “only the essential facts of life,” so that death may be lived for what it is—the natural, and not tragic, outcome of life.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other equally important lesson is how to touch the hard matter of the world, how to see the world again in its full range of detail, diversity, and infinite reach. Nothing has suffered greater impoverishment in our era than our ability to see the visible world. It has become increasingly invisible to us as we succumb to the sorcery of our digital screens. It will take the likes of Henry David Thoreau, the most keen-sighted American of all, to teach us how to discover America again and see it for what it is.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1</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The view of Thoreau as a hypocritical jerk is alive and well. In an article about Walden in The New Yorker (October 19, 2015), Kathryn Schulz works herself into a froth of indignation as she denounces him for his “hypocrisy, his sanctimony, his dour asceticism, and his scorn,” claiming, as many others before her have, that “he was as parochial as he was egotistical.” Thoreau does Schulz one better in Walden, where he writes: “I never knew, and never shall know, a worse man than myself.” ↩</w:t>
      </w:r>
    </w:p>
    <w:p w:rsidR="00000000" w:rsidDel="00000000" w:rsidP="00000000" w:rsidRDefault="00000000" w:rsidRPr="00000000">
      <w:pPr>
        <w:contextualSpacing w:val="0"/>
        <w:rPr/>
      </w:pPr>
      <w:r w:rsidDel="00000000" w:rsidR="00000000" w:rsidRPr="00000000">
        <w:rPr>
          <w:rtl w:val="0"/>
        </w:rPr>
        <w:t xml:space="preserve">2</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On the symbolic meaning of Thoreau’s departure from Concord to the shores of Walden Pond on Independence Day, see Stanley Cavell’s The Senses of Walden (Viking, 1972), still one of the most thoughtful books about Walden ever published. ↩</w:t>
      </w:r>
    </w:p>
    <w:p w:rsidR="00000000" w:rsidDel="00000000" w:rsidP="00000000" w:rsidRDefault="00000000" w:rsidRPr="00000000">
      <w:pPr>
        <w:contextualSpacing w:val="0"/>
        <w:rPr/>
      </w:pPr>
      <w:r w:rsidDel="00000000" w:rsidR="00000000" w:rsidRPr="00000000">
        <w:rPr>
          <w:rtl w:val="0"/>
        </w:rPr>
        <w:t xml:space="preserve">3</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See The Journal, 1837–1861, edited by Damion Searls with a preface by John R. Stilgoe (New York Review Books, 2009).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Making Memories</w:t>
      </w:r>
    </w:p>
    <w:p w:rsidR="00000000" w:rsidDel="00000000" w:rsidP="00000000" w:rsidRDefault="00000000" w:rsidRPr="00000000">
      <w:pPr>
        <w:contextualSpacing w:val="0"/>
        <w:rPr/>
      </w:pPr>
      <w:r w:rsidDel="00000000" w:rsidR="00000000" w:rsidRPr="00000000">
        <w:rPr>
          <w:rtl w:val="0"/>
        </w:rPr>
        <w:t xml:space="preserve">Israel Rosenfield and Edward Ziff AUGUST 17, 2017 ISSUE</w:t>
      </w:r>
    </w:p>
    <w:p w:rsidR="00000000" w:rsidDel="00000000" w:rsidP="00000000" w:rsidRDefault="00000000" w:rsidRPr="00000000">
      <w:pPr>
        <w:contextualSpacing w:val="0"/>
        <w:rPr/>
      </w:pPr>
      <w:r w:rsidDel="00000000" w:rsidR="00000000" w:rsidRPr="00000000">
        <w:rPr>
          <w:rtl w:val="0"/>
        </w:rPr>
        <w:t xml:space="preserve">Patient H.M.: A Story of Memory, Madness, and Family Secrets</w:t>
      </w:r>
    </w:p>
    <w:p w:rsidR="00000000" w:rsidDel="00000000" w:rsidP="00000000" w:rsidRDefault="00000000" w:rsidRPr="00000000">
      <w:pPr>
        <w:contextualSpacing w:val="0"/>
        <w:rPr/>
      </w:pPr>
      <w:r w:rsidDel="00000000" w:rsidR="00000000" w:rsidRPr="00000000">
        <w:rPr>
          <w:rtl w:val="0"/>
        </w:rPr>
        <w:t xml:space="preserve">by Luke Dittrich</w:t>
      </w:r>
    </w:p>
    <w:p w:rsidR="00000000" w:rsidDel="00000000" w:rsidP="00000000" w:rsidRDefault="00000000" w:rsidRPr="00000000">
      <w:pPr>
        <w:contextualSpacing w:val="0"/>
        <w:rPr/>
      </w:pPr>
      <w:r w:rsidDel="00000000" w:rsidR="00000000" w:rsidRPr="00000000">
        <w:rPr>
          <w:rtl w:val="0"/>
        </w:rPr>
        <w:t xml:space="preserve">Random House, 440 pp., $28.00; $20.00 (paper)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Eric Edelman/RetroCollage.com</w:t>
      </w:r>
    </w:p>
    <w:p w:rsidR="00000000" w:rsidDel="00000000" w:rsidP="00000000" w:rsidRDefault="00000000" w:rsidRPr="00000000">
      <w:pPr>
        <w:contextualSpacing w:val="0"/>
        <w:rPr/>
      </w:pPr>
      <w:r w:rsidDel="00000000" w:rsidR="00000000" w:rsidRPr="00000000">
        <w:rPr>
          <w:rtl w:val="0"/>
        </w:rPr>
        <w:t xml:space="preserve">Collage by Eric Edelman</w:t>
      </w:r>
    </w:p>
    <w:p w:rsidR="00000000" w:rsidDel="00000000" w:rsidP="00000000" w:rsidRDefault="00000000" w:rsidRPr="00000000">
      <w:pPr>
        <w:contextualSpacing w:val="0"/>
        <w:rPr/>
      </w:pPr>
      <w:r w:rsidDel="00000000" w:rsidR="00000000" w:rsidRPr="00000000">
        <w:rPr>
          <w:rtl w:val="0"/>
        </w:rPr>
        <w:t xml:space="preserve">On September 1, 1953, William Scoville, a neurosurgeon at Hartford Hospital in Connecticut, operated on a twenty-seven-year-old man named Henry Gustav Molaison, who suffered from severe epilepsy. Scoville removed two pieces of tissue—the left and right sides of the hippocampus—from Molaison’s brain. The hippocampus, located near the center of the brain, forms a part of the limbic system that directs many bodily functions, and Scoville thought that epileptic seizures could be controlled by excising much of it. The result, however, as the journalist Philip Hilts wrote in Memory’s Ghost (1995), was that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from H.M.’s moment in surgery onward, every conversation for him was without predecessors, each face vague and new. Names no longer rose to the surface, neither histories nor endearing moments came anymore. Reassurances of welcome had to be sought every moment from every look in every pair of eyes.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H.M., as he came to be known in the medical literature (his real name was not disclosed until his death in 2008), could no longer remember anything he did. He could not remember what he had eaten for breakfast, lunch, or supper, nor could he find his way around the hospital. He failed to recognize hospital staff and physicians whom he had met only minutes earlier, remembering only Scoville, whom he had known since childhood. Every time he met a scientist from MIT who was studying him regularly, she had to introduce herself again. He could not even recognize himself in recent photos, thinking that the face in the image was some “old guy.” Yet he was able to carry on a conversation for as long as his attention was not diverted.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H.M.’s condition suggested that the hippocampus was essential for the conversion of short-term memories to long-term memories, and he became the most widely cited example in studies of the distinction between them. Eric Kandel, James Schwartz, and Thomas Jessell drew on his case in 2000:</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Brain trauma in humans can produce particularly profound amnesia for events that occur within a few hours or, at most, days before the trauma. In such cases older memories remain relatively undisturbed…. Studies of memory retention and disruption of memory have supported a commonly used model of memory storage by stages. Input to the brain is processed into short-term working memory before it is transformed through one or more stages into a more permanent long-term store.1</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Patient H.M., by Scoville’s grandson, Luke Dittrich, is a memoir of his grandfather and H.M. Much of the book describes, with justified quiet indignation, the failures of the neurosurgical procedures that were widely practiced by Scoville and other neurosurgeons in the past century.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procedures that Dittrich describes have a long history. In the late nineteenth century, for example, Dr. Gottlieb Burckhardt, a Swiss psychiatrist, “performed the first modern neurosurgical attacks on mental illness.” Burckhardt had no experience or training as a neurosurgeon, but one of the first patients he selected for his experiments was a “‘disturbed, unapproachable, noisy, fighting’…fifty-one-year-old, ‘particularly vicious woman,’ who’d been institutionalized for sixteen years.” After five operations, over the course of which he removed eighteen grams of her brain, Burckhardt noted that his patient had become “more tractable.” As Dittrich writes, “Her previous intelligence, he added, ‘did not return.’” Burckhardt concluded that his patient “has changed from a dangerous and excited demented person to a quiet demented one.”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Psychosurgery became increasingly popular in the 1940s, and in 1949, Egas Moniz received the Nobel Prize for inventing the procedure called lobotomy, in which the neural connections to the prefrontal lobe are severed. Dittrich writes: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Nobel Committee had endowed psychosurgery with a patina of nobility, demonstrating that future breakthroughs in the field might pay great professional, therapeutic, and scientific dividends. For ambitious tinkerers like my grandfather, the lure was irresistible.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He gives a fascinating portrait of Scoville, who sought professional advancement through his experimental operation on H.M., describing him as “a restless explorer in the operating room, never satisfied with existing techniques or methods, even the ones he had invented.” What emerges from Dittrich’s account is a profound sense of the ignorance, the arrogance, and the passion that drove his grandfather and other neurosurgeons to perform operations that often left their patients demented. They had a drive to innovate—to pursue new, untried, experimental procedures with unpredictable consequences—and were untroubled by their harmful outcomes.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Dittrich shows how H.M.’s case pointed the way to a better understanding of some of the more puzzling aspects of how our brains function and the nature of our conscious behavior. After surgery, he notes, H.M. was insensitive to pleasure and pain. When subjected to increasing levels of heat from a dolorimeter, which causes considerable pain in normal subjects, “Henry sat calmly,…even as his skin began to burn and turn red.” He lost “a capacity for desire”: “in the six decades between his operation and his death he never had a girlfriend, or a boyfriend, never had sex, never even masturbated.” H.M.’s insensitivity and his indifference to pleasure and pain seem critical to an understanding of his loss of memory. For all of our memories are subjective. Your memories are in relation to you, your friend’s memories are in relation to him or to her, and so on. The loss of pleasure and pain is a loss of subjectivity, of an ability to relate to objects, to persons, and to oneself—an ability H.M. lost when Dittrich’s grandfather removed his hippocampus.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Dittrich’s book concludes with an interview with Suzanne Corkin, a professor of psychology at MIT. For almost fifty years she studied H.M., and she and her mentor, Brenda Milner, wrote a number of important papers about the hippocampus’s function in establishing long-term memories. They showed that H.M. could no longer form memories of space or time or acquire general knowledge of the world, but he could learn new motor skills. Their work was the basis of the understanding of memory and hippocampal function since the 1960s. When Dittrich interviewed Corkin in 2015, he asked what she was going to do with her notes on H.M.: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Dittrich: Are you aiming to give his files to an archive?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Corkin: Not his files, but I’m giving his memorabilia to my department. And they will be on display on the third floor….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Dittrich: Right. And what’s going to happen to the files themselves?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She paused for several seconds.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Corkin: Shredded.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Dittrich: Shredded? Why would they be shredded?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Corkin: Nobody’s gonna look at them.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Dittrich: Really? I can’t imagine shredding the files of the most important research subject in history. Why did you do that?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Corkin: Well, you can’t just take one test on one day and draw conclusions about 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Many readers will be shocked by the revelation that Corkin’s notes were shredded. (Whether they were remains a matter of controversy; in 2016 MIT responded to Dittrich with an open letter claiming that nothing was actually destroyed, and Dittrich then posted online a recording of his interview with Corkin telling him the material was gone.) Yet even had they survived, they would not have revealed much of the deeper significance of H.M.’s case, which has become evident only through new neurobiological research.</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Recent studies of how the brain organizes space and regulates how one makes sense of one’s environment have shown that the hippocampus is concerned with much more than converting short-term memories into long-term memories. For example, H.M.’s sensations, thoughts, and perceptions after the operation had no continuity at all. “Every day is alone in itself,” Corkin quotes him as saying. Summarizing H.M.’s interview transcripts, Dittrich writes: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most compelling moments were always the rare ones when Henry would try to explain what it was like to be him…. He never quite succeeded, since his amnesia wouldn’t let him hold on to the ideas long enough to get them out. He’d seem on the verge of a breakthrough, of a definitive statement, and then his train of thought would derail, and he’d start all over again.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These and other observations of scientists who studied H.M. are consistent with the more recent finding that, in the words of the neuroscientists Marc W. Howard and Howard Eichenbaum, “one of the functions of the hippocampus is to enable the learning of relationships between different stimuli experienced in the environment.” The work of Eichenbaum and others has begun to give us not only a new view of the function of the hippocampus, but a new understanding of the nature of memory. It is becoming increasingly clear that human and animal memory depend on the ability of the hippocampus to establish relations between an individual and his or her surroundings.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Laboratory of Comparative Human Cognition/UC San Diego</w:t>
      </w:r>
    </w:p>
    <w:p w:rsidR="00000000" w:rsidDel="00000000" w:rsidP="00000000" w:rsidRDefault="00000000" w:rsidRPr="00000000">
      <w:pPr>
        <w:contextualSpacing w:val="0"/>
        <w:rPr/>
      </w:pPr>
      <w:r w:rsidDel="00000000" w:rsidR="00000000" w:rsidRPr="00000000">
        <w:rPr>
          <w:rtl w:val="0"/>
        </w:rPr>
        <w:t xml:space="preserve">The Soviet neuropsychogist Alexander Luria, author of The Mind of a Mnemonist (1968),</w:t>
      </w:r>
    </w:p>
    <w:p w:rsidR="00000000" w:rsidDel="00000000" w:rsidP="00000000" w:rsidRDefault="00000000" w:rsidRPr="00000000">
      <w:pPr>
        <w:contextualSpacing w:val="0"/>
        <w:rPr/>
      </w:pPr>
      <w:r w:rsidDel="00000000" w:rsidR="00000000" w:rsidRPr="00000000">
        <w:rPr>
          <w:rtl w:val="0"/>
        </w:rPr>
        <w:t xml:space="preserve">with patients; 1960s</w:t>
      </w:r>
    </w:p>
    <w:p w:rsidR="00000000" w:rsidDel="00000000" w:rsidP="00000000" w:rsidRDefault="00000000" w:rsidRPr="00000000">
      <w:pPr>
        <w:contextualSpacing w:val="0"/>
        <w:rPr/>
      </w:pPr>
      <w:r w:rsidDel="00000000" w:rsidR="00000000" w:rsidRPr="00000000">
        <w:rPr>
          <w:rtl w:val="0"/>
        </w:rPr>
        <w:t xml:space="preserve">Studies by brain scientists including Eichenbaum and John O’Keefe have shown that the hippocampus is made up of cells with different kinds of functions. Most important are “place” cells, discovered by O’Keefe in research that won him the Nobel Prize, which respond to an animal’s location in space by causing electrical discharges called action potentials, creating mental maps of an animal’s environment. These maps are at various scales, like maps of an entire city as opposed to maps of individual streets. “Place cells,” wrote Howard and Eichenbaum in 2015, “are apparently not coding for a place per se but a spatial relationship relative to a landmark, or set of landmarks.”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There is considerable evidence that the activities of hippocampal neurons also help establish our relationships to many other types of environmental and internal stimuli, such as sounds, odors, pain, pleasure, and fear. Howard and Eichenbaum proposed that “the spatial map in the hippocampus is a special case of a more general function in representing relationships…including both spatial and non-spatial [stimuli].” In each case, the neurons are able to convey a relationship to our consciousness. The hippocampus also organizes temporal stimuli (including when an event took place) and sequential stimuli (indicating the order of a series of events). The hippocampus receives and integrates many other varieties of information to create multisensory relations, which is what memory is all about.2</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in what sense are relationships of this kind involved in remembering other sorts of information that apparently have nothing to do with specific events or our environment, such as random lists of words and numbers? Consider, for example, Alexander Luria’s description in his book The Mind of a Mnemonist (1968) of a patient, S, who could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recall tables of numbers written on a blackboard. S. would study the material on the board, close his eyes, open them again for a moment…and…reproduce one series from the board.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How is this ability to recall random words and numbers, even years later, related to what scientists have recently suggested is the function of the hippocampus, which is apparently essential to our capacity to remember? Luria describes how the mnemonist remembers. He never recalls arbitrary lists of words or numbers without first establishing a setting—a relation—in which he heard the lists: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Experiments indicated that [the mnemonist] had no difficulty reproducing any lengthy series of words whatever, even though these had originally been presented to him a week, a month, or a year, or even many years earlier…. During these test sessions S. would sit with his eyes closed, pause, then comment:… You were sitting at the table and I in the rocking chair… You were wearing a gray suit and you looked at me like this… Now, then, I can see you saying…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other words, the mnemonist accesses (i.e., recalls) what appear to be imprinted words only by recalling the setting in which they were first “imprinted” in his memory. Once he recalls that setting, S. has a technique that allows him to memorize arbitrary lists of numbers, words, or both. The mnemonist, Luria notes, when given a long series of words to memorize, would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find some way of distributing these images of his in a mental row or sequence. Most often (and this habit persisted throughout his life), he would “distribute” them along some roadway or street he visualized in his mind. Sometimes this was a street in his home town, which would also include the yard attached to the house he had lived in as a child and which he recalled vividly. On the other hand, he might also select a street in Moscow. Frequently he would take a mental walk along that street…and slowly make his way down, “distributing” his images [evoked by the words] at houses, gates, and store windows.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There is no example in Luria’s book suggesting that the mnemonist can recall without establishing a setting. We would suggest that all recollections depend on a setting that the individual may or may not be aware of.</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mnemonic technique has been known since the ancient Greeks. Cicero tells us that an aristocrat named Scopas was giving a banquet, at which the poet Simonides chanted a poem in honor of his host that included “a passage in praise of Castor and Pollux.”3 Subsequently a note was brought to Simonides that two young men were waiting for him outside, but when he went to greet them he did not find them. Meanwhile the banquet hall collapsed during his absence, killing all of the guests. The corpses were badly mangled and could not be identified. Simonides remembered the place where each of the guests was sitting and was therefore able to identify them.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Simonides is generally known as the inventor of the art of memory. Most remarkable is that the art he invented operates not unlike the way the hippocampus creates human and animal memory by means of cells that map location in space, or create temporal markers, or encode sequences of events.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Essential to the brain’s creation of memories is that all of our memories are subjective—they are created from the point of view of the individual who is remembering. We have a sense of self because we have a preexisting sense of our body that contains that self. The basis of our subjectivity is our “body image,” a coherent, highly dynamic (it is constantly changing with our movements), three-dimensional representation of the body in the brain. This body image is an abstraction the brain creates from our movements and from the sensory responses elicited by those movements—using one’s left hand to pick up an apple, for example. “The coherence of consciousness through time and space is again related to the experience of the body by way of the body image,” John Searle wrote in these pages in 1995. “Without memory there is no coherent consciousness.”4</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Since our subjectivity depends on our body image, if our body image is altered for neurological reasons, so too are our recollections. After he badly injured his leg on a mountain in Norway, Oliver Sacks described what is known as the “alien limb” phenomenon in his book A Leg to Stand On (1984):</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leg had vanished, taking its “place” with it. Thus there seemed no possibility of recovering it…. Could memory help, where looking forward could not? No! The leg had vanished, taking its “past” away with it! I could no longer remember having a leg. I could no longer remember how I had ever walked and climbed.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Since the nineteenth century it has been known that the brain creates “maps” of the body in the cortex. There is a cortical map of sensations (a sensory map) and a cortical map of movement (a motor map). In the sensory cortical map (also known as the sensory homunculus), the region in the brain that is activated, for example, by touching the hand, fingers, and arm—the cortical area that “represents” the sensations created by a cotton swab moved from the tip of the fingers to the arm—is adjacent to the representation of the face.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counterpart of the alien limb is the “phantom” limb—a limb perceived by an amputee who feels as if an arm or leg that was lost in surgery is still attached to the body. The phantom limb might be extremely painful. When points remote from the amputation line are touched, such as the amputee’s face, he or she paradoxically feels a phantom limb. Remarkably, memories related to the original limb may be linked to the phantom limb. The subject may even perceive that the phantom limb is wearing a wedding ring or jewelry; when the weather turns humid, the phantom limb may experience arthritic pain. The patient’s phantom limb is not only a recollection of the lost arm or leg, but one that includes the patient’s experiences related to that limb.</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Or take the case of a man whose memories are transformed when he becomes blind, as the theologian John Hull describes in his book Touching the Rock (1990). Hull became increasingly blind between the ages of twenty and forty. When he lost his sight, he noted, “the proportion of people with no faces increased…. I have fairly clear pictures of many people whom I have not met again during these three years, but the pictures of the people I meet every day are becoming blurred. Why should this be?” Hull answers his own question: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the case of people I meet every day my relationship has continued beyond loss of sight, so my thoughts about these people are full of the latest developments in our relationships. These have partly converted the portrait, which has thus become less important. In the case of somebody I know quite well but have not seen for several years, nothing has happened to take the place of the portrait, and when I think of those people, it is the portrait which comes to mind.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Hull goes on to say that he was deeply distressed that he was losing the visual portraits of his wife and children. Hull’s memories (as is true of all of our memories) were continuously being “updated.” He could still visualize people he had known before he became blind and had not been in contact with since. But now that he was living in a world without any new images, his memories of people with whom he was regularly in touch were being updated into a nonvisual form—the sounds of their voices and the sensations of touching their hands and faces. When one becomes blind, the continuity of visual memory is lost.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When memories are first formed, they are “short-term” and unstable. But with time, the physical representation of the memory in the brain formed by the synaptic junctions between neurons becomes more stable. This process is called consolidation. The stabilized memories then become “long-term” memories. H.M.’s brain was unable to create long-term memories. Recent neurophysiological studies have shown that even long-term memories are very dynamic and that each time the brain tries to activate a “memory trace”—the physical representation of the memory in the brain, also called the “engram”—the nature of that trace changes. In other words, memories are altered every time the brain recalls them. This alteration of an existing memory is called reconsolidation. Because the memory trace changes, you can never remember the same thing twice in exactly the same way.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process of reconsolidation, scientists have shown, changes the memory—that is, the way the memory is represented at the synaptic junction is altered. The recognition of the malleability of memory is nothing new. What is new is the observation that the connections between neurons that many scientists believe have a central part in generating memories change whenever the brain seeks to recover the information they represent. These changes may be the reason we can generalize. Over time, some memories are assimilated into categorizations or generalizations. When we recall taking the subway, we do not necessarily recall each trip separately but rather taking the subway in general; and such recollection may include an image of the subway. The brain simplifies our understanding of our environment and our relationship to 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Memory may appear to be a reproduction of images, sounds, and even thoughts that can be stored in the brain in a manner analogous to the way information can be stored on a CD, but it is becoming increasingly evident that this is too limited an understanding. Rather, as Eichenbaum, O’Keefe, and others have shown, memory is the establishment by the hippocampus of complex relations among a variety of sensory stimuli from the point of view of the individual who is remembering. Thus when Scoville removed H.M.’s hippocampus, H.M. lost more than an ability to convert short-term memories to long-term memories; he lost the ability to establish such relations.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Yet scientists still don’t understand the ways that changes in the synaptic junctions between neurons, or changes in the neurons themselves, are related to our memories, thoughts, and actions. Indeed, neurobiology has yet to define the physical nature of the long-lasting changes in neuronal connections that are created as memories are formed. Even a simple memory must involve vast numbers of such changes. Advanced techniques for imaging brain activity, such as fMRI, reveal which brain regions are activated when a memory is recalled, but the resolution is far too low to study individual neurons, let alone individual synapses. As Luke Dittrich has so aptly shown, much of what we know about memory today still comes from studying the irreparable harm done to H.M.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1</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Principles of Neural Science, edited by Eric Kandel, James Schwartz, and Thomas Jessell, fourth edition (McGraw-Hill, 2000), p. 1244. ↩</w:t>
      </w:r>
    </w:p>
    <w:p w:rsidR="00000000" w:rsidDel="00000000" w:rsidP="00000000" w:rsidRDefault="00000000" w:rsidRPr="00000000">
      <w:pPr>
        <w:contextualSpacing w:val="0"/>
        <w:rPr/>
      </w:pPr>
      <w:r w:rsidDel="00000000" w:rsidR="00000000" w:rsidRPr="00000000">
        <w:rPr>
          <w:rtl w:val="0"/>
        </w:rPr>
        <w:t xml:space="preserve">2</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The shifting perspectives so characteristic of the artistic imagination in the twentieth century (in music, art, and literature) are probably related to hippocampal function as well. For example, in Plaisir de Jouer, Plaisir de Penser (2016), Charles Rosen and Catherine Temerson write that Proust calls his narrator Marcel, “blurring the distinction between novel and autobiography,” and that Alan Ayckbourn “in one of his plays puts two households simultaneously on stage [having dinner on separate days]…. At the end of each dinner the same person is drenched (a bowl of soup is thrown in his face in one scene; in the other the plumbing has collapsed).” ↩</w:t>
      </w:r>
    </w:p>
    <w:p w:rsidR="00000000" w:rsidDel="00000000" w:rsidP="00000000" w:rsidRDefault="00000000" w:rsidRPr="00000000">
      <w:pPr>
        <w:contextualSpacing w:val="0"/>
        <w:rPr/>
      </w:pPr>
      <w:r w:rsidDel="00000000" w:rsidR="00000000" w:rsidRPr="00000000">
        <w:rPr>
          <w:rtl w:val="0"/>
        </w:rPr>
        <w:t xml:space="preserve">3</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See Francis A. Yates, The Art of Memory (Routledge, 1966), p. 1ff. ↩</w:t>
      </w:r>
    </w:p>
    <w:p w:rsidR="00000000" w:rsidDel="00000000" w:rsidP="00000000" w:rsidRDefault="00000000" w:rsidRPr="00000000">
      <w:pPr>
        <w:contextualSpacing w:val="0"/>
        <w:rPr/>
      </w:pPr>
      <w:r w:rsidDel="00000000" w:rsidR="00000000" w:rsidRPr="00000000">
        <w:rPr>
          <w:rtl w:val="0"/>
        </w:rPr>
        <w:t xml:space="preserve">4</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“The Mystery of Consciousness: Part II,” The New York Review, November 16, 1995. ↩</w:t>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