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pPr>
      <w:r w:rsidDel="00000000" w:rsidR="00000000" w:rsidRPr="00000000">
        <w:rPr>
          <w:rtl w:val="0"/>
        </w:rPr>
        <w:t xml:space="preserve">Readings for August 20, 2017</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Something Grander Than a Novel</w:t>
      </w:r>
    </w:p>
    <w:p w:rsidR="00000000" w:rsidDel="00000000" w:rsidP="00000000" w:rsidRDefault="00000000" w:rsidRPr="00000000">
      <w:pPr>
        <w:contextualSpacing w:val="0"/>
        <w:rPr/>
      </w:pPr>
      <w:r w:rsidDel="00000000" w:rsidR="00000000" w:rsidRPr="00000000">
        <w:rPr>
          <w:rtl w:val="0"/>
        </w:rPr>
        <w:t xml:space="preserve">Peter Brooks JULY 13, 2017 ISSUE</w:t>
      </w:r>
    </w:p>
    <w:p w:rsidR="00000000" w:rsidDel="00000000" w:rsidP="00000000" w:rsidRDefault="00000000" w:rsidRPr="00000000">
      <w:pPr>
        <w:contextualSpacing w:val="0"/>
        <w:rPr/>
      </w:pPr>
      <w:r w:rsidDel="00000000" w:rsidR="00000000" w:rsidRPr="00000000">
        <w:rPr>
          <w:rtl w:val="0"/>
        </w:rPr>
        <w:t xml:space="preserve">The Novel of the Century: The Extraordinary Adventure of Les Misérables</w:t>
      </w:r>
    </w:p>
    <w:p w:rsidR="00000000" w:rsidDel="00000000" w:rsidP="00000000" w:rsidRDefault="00000000" w:rsidRPr="00000000">
      <w:pPr>
        <w:contextualSpacing w:val="0"/>
        <w:rPr/>
      </w:pPr>
      <w:r w:rsidDel="00000000" w:rsidR="00000000" w:rsidRPr="00000000">
        <w:rPr>
          <w:rtl w:val="0"/>
        </w:rPr>
        <w:t xml:space="preserve">by David Bellos</w:t>
      </w:r>
    </w:p>
    <w:p w:rsidR="00000000" w:rsidDel="00000000" w:rsidP="00000000" w:rsidRDefault="00000000" w:rsidRPr="00000000">
      <w:pPr>
        <w:contextualSpacing w:val="0"/>
        <w:rPr/>
      </w:pPr>
      <w:r w:rsidDel="00000000" w:rsidR="00000000" w:rsidRPr="00000000">
        <w:rPr>
          <w:rtl w:val="0"/>
        </w:rPr>
        <w:t xml:space="preserve">Farrar, Straus and Giroux, 307 pp., $27.00</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PVDE/Bridgeman Images</w:t>
      </w:r>
    </w:p>
    <w:p w:rsidR="00000000" w:rsidDel="00000000" w:rsidP="00000000" w:rsidRDefault="00000000" w:rsidRPr="00000000">
      <w:pPr>
        <w:contextualSpacing w:val="0"/>
        <w:rPr/>
      </w:pPr>
      <w:r w:rsidDel="00000000" w:rsidR="00000000" w:rsidRPr="00000000">
        <w:rPr>
          <w:rtl w:val="0"/>
        </w:rPr>
        <w:t xml:space="preserve">Victor Hugo on the terrace of Hauteville House, Guernsey, where he wrote Les Misérables, 1868</w:t>
      </w:r>
    </w:p>
    <w:p w:rsidR="00000000" w:rsidDel="00000000" w:rsidP="00000000" w:rsidRDefault="00000000" w:rsidRPr="00000000">
      <w:pPr>
        <w:contextualSpacing w:val="0"/>
        <w:rPr/>
      </w:pPr>
      <w:r w:rsidDel="00000000" w:rsidR="00000000" w:rsidRPr="00000000">
        <w:rPr>
          <w:rtl w:val="0"/>
        </w:rPr>
        <w:t xml:space="preserve">Is Victor Hugo’s Les Misérables, as David Bellos would have us believe, “the greatest novel of the nineteenth century”? A number of titles in that greatest century of the novel can surely lay claim to this accolade: War and Peace, Madame Bovary, The Brothers Karamazov, Middlemarch, maybe also The Charterhouse of Parma, Great Expectations, Lost Illusions. I don’t think Les Misérables makes the cut, though not because it isn’t great in its peculiar way.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Bellos comes closer to the truth, and the problem, when he writes: “The episode in the sewers,” in which Jean Valjean carries the wounded Marius after the fall of their barricade, “makes Les Misérables something grander than a novel in the nineteenth-century mode. It reaches out towards the creation of a legend and the transformation of a character into a myth.” Whatever it is, Les Misérables doesn’t quite qualify as a novel. It’s some kind of monstre sacré. It has lent itself well to various adaptations over the decades since its publication in 1862, perhaps a sign that its form is so elastic, or unimportant, that its matter can easily be reworked without losing the book’s essence.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Flaubert, who admired Hugo greatly, was caustic:</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 found in this book neither truth nor grandeur…. The characters are mannequins, sugar candy figures…. You are not allowed to paint such a false portrait of society when you’re a contemporary of Balzac and Dickens.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Flaubert wanted a greater realism. It is true also that Hugo doesn’t have the ability of Dickens, Balzac, or even Eugène Sue to make his plots dramatize the issues at the heart of the novel. He always has to intervene in his own voice, endlessly sermonizing. Social realities are not so much observed as postulated by an Olympian author. It’s at times like the garrulousness of an old man in love with his own voice. Reading Les Misérables, one often wishes Hugo would shut up.</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Yet even Flaubert conceded that Hugo’s subject was great and important. Les Misères, as the original working title of the novel had it—poverty, misery, social destitution, the creation of a class of the wretched of the earth—was the profound and inescapable issue for thinking persons of the nineteenth century. How had the evolution of society and industry created such a vast and growing underclass? It remains a crucial issue for us today, though one has the impression that it has ceased to have the moral urgency it had for Hugo and many of his contemporaries.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Nineteenth-century France produced some remarkable inquiries into social misery, including Eugène Buret’s De la misère des classes laborieuses en Angleterre et en France (1840); Louis-René Villermé’s report on textile workers in Tableau de l’état physique et moral des ouvriers employés dans les manufactures de coton, de laine et de soie (1840); and Alexandre Parent-Duchâtelet’s remarkably thorough and influential study of prostitution in Paris, De la prostitution dans la ville de Paris, considérée sous le rapport de l’hygiène publique, de la morale et de l’administration (1836). Such works invented sociological inquiry. And then across the Channel came the most famous, Friedrich Engels’s The Condition of the Working Class in England (1845).</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shift from Les Misères to Les Misérables, Bellos writes, reflected Hugo’s decision that his account of society would come not in a tract but in a novel about those who lived in poverty, and sometimes in crime, since the grim life of destitution often included crime, petty and great. As Louis Chevalier contended in his magisterial study Laboring Classes and Dangerous Classes (Classes laborieuses et classes dangereuses), for the nineteenth-century bourgeoisie, the working class, which had become vastly larger and more visible in cities, was newly seen as dangerous, the potential agent of crime and insurrection.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facts of social misery increasingly were there to see—if anyone wanted to look at them. As Hugo writes early in Les Misérables, “Society must look at these things because it creates them.” The program of the novel is explicitly “the eradication of misery.” Hugo’s famous prefatory note ends: “So long as ignorance and misery exist on earth, books like this may not be without use.” We are summoned by the very rhetoric of the passage to enter a melodrama of social concern, one in which plot and characters exist in a state of excruciating extremity, frequently commented on by the author.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Hugo goes much further than he had in his earlier novel about the last day of a man condemned to the guillotine, Le dernier jour d’un condamné (The Last Day of a Condemned Man), published in 1829 and then again in 1832 with a preface that makes a resounding plea against capital punishment. “The scaffold is the only edifice that revolutions don’t abolish,” he wrote, a truth only too often confirmed since then. One may find the earlier and much shorter novel a more effective tract than the sprawling Les Misérables, but it’s the later novel that has attained mythic status. Jean Valjean’s nineteen years of imprisonment for stealing a loaf of bread still resonate today in a society that has incarcerated more of its misérables than any other.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The Novel of the Century, Bellos cites a letter from Hugo’s Belgian publisher, Albert Lacroix, to the novelist upon receipt of the final installment of corrected proofs: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Your work, dear master, is that great and magnificent forest where everything exists, merges and combines. Like the song of birds, the call of the eagle, the ray of the divine, you show us all that is there: the ecstasy of hearts, the ulcers on souls, the darkness of minds, joy and suffering…. Your book is the forest of human life and of our nineteenth century. It leaves us captivated, penetrated, moved, transfigured, renewed, improved and pensive.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As Bellos comments, the publisher has begun to sound like the novelist himself. Lacroix speaks for innumerable of Hugo’s contemporary readers. This was sublime stuff. By the time of his death in 1885, at age eighty-three, Hugo was a national hero, his funeral cortège one of those immense cultural and political demonstrations that nineteenth-century France turned into a popular art form.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Bellos’s fine book could be seen as part of the recent critical genre that Joyce Carol Oates baptized the “bibliomemoir” (Rebecca Mead’s My Life in Middlemarch is the best-known example). But it is not so much about Bellos’s personal engagement with the novel as a study of its genesis, its production, its reception, and notably its language. Hugo’s first ideas for Les Misérables reached back to 1845, but it was only in 1860 that he began work on his early draft again. He was by this point famously an exile from Napoleon III’s Second Empire—one of its opponents proscribed after the coup d’état of December 2, 1851. He had refused to accept amnesty when it was later offered by the man he called “Napoléon le Petit.” He had settled finally on the island of Guernsey in the English Channel, where he commanded a view of the sea from his study on the top floor of Hauteville House, while a large cast of family, lover, and servants ran the household and copied his manuscripts.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story of the composition of the novel, and of the journey of manuscript, proofs, then corrected proofs between Guernsey and Brussels, is one of the most entertaining and illuminating in Bellos’s book. Because of the unpredictability of French censorship under the Second Empire (as with the trials of Flaubert’s Madame Bovary and Baudelaire’s Les fleurs du mal) and his unstinting opposition to the regime, Hugo chose as his primary publisher the Belgian company A. Lacroix, Verboekhoven &amp; Cie, demanding, and obtaining, the highest price ever paid for a novel.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He worked on the revision of his manuscript from seven to eleven o’clock in the morning, then gave it to his two devoted scribes, his long-standing lover Juliette Drouet and his sister-in-law Julie Chenay. In the afternoon he revised the copies they had completed, then in the evening from eight o’clock to midnight he corrected proofs of the pages already set in print. Everything—manuscript, proofs, and proof corrections—had to travel on the thrice-weekly mail boat to Southampton, then on from there to London, Dover, Ostend, and Brussels. Material from the publisher took the reverse journey to St. Peter Port on Guernsey. When the book was published in the spring of 1862, it was an international launch, with the first volumes on sale not only in Brussels but also in Paris, Leipzig, London, and St. Petersburg. Edition followed edition as the novel turned into an enormous best seller.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Bellos relishes the details of the novel, and those he furnishes are mostly well worth having, such as the nature of the loaf of bread Jean Valjean steals: not the baguette we now admire but the loaf of the poor, “an oval weighing four and a half pounds, with a thick black crust and heavy grey meal inside.” Bellos details the book’s “money plot” in a tour de force that explains how Jean Valjean, the escaped convict who becomes Monsieur Madeleine, makes his fortune manufacturing synthetic jet jewelry, and why he deposits his profits with the Lafitte Bank. Bellos also explains why, when Valjean is obliged to withdraw the money in bank notes (in gold coin it would have weighed 465 pounds) and bury it in a chest, it never loses its value over ten years (no inflation).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Likewise, the details of book publishing: around 1860, shortly before the publication of Les Misérables, the steam press, the stereotype that took the place of lead characters, and the manufacture of cheap paper from vegetable matter converged to make the democratization of the printed book a reality. The first two volumes of the novel sold out in two days.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Best of all is Bellos’s command of the French language, including its linguistic underclass, argot. As someone who from early in his career had sought to open up literary language to a broader vernacular (“I put a red bonnet on the old dictionary”), Hugo saw the rich resources of slang as a kind of counterlanguage. He was of course following in the footsteps of Sue and Balzac, who both found the language of the criminal underworld rich in expressive metaphor and energy.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Victor Hugo</w:t>
      </w:r>
    </w:p>
    <w:p w:rsidR="00000000" w:rsidDel="00000000" w:rsidP="00000000" w:rsidRDefault="00000000" w:rsidRPr="00000000">
      <w:pPr>
        <w:contextualSpacing w:val="0"/>
        <w:rPr/>
      </w:pPr>
      <w:r w:rsidDel="00000000" w:rsidR="00000000" w:rsidRPr="00000000">
        <w:rPr>
          <w:rtl w:val="0"/>
        </w:rPr>
        <w:t xml:space="preserve">Victor Hugo; drawing by David Levine</w:t>
      </w:r>
    </w:p>
    <w:p w:rsidR="00000000" w:rsidDel="00000000" w:rsidP="00000000" w:rsidRDefault="00000000" w:rsidRPr="00000000">
      <w:pPr>
        <w:contextualSpacing w:val="0"/>
        <w:rPr/>
      </w:pPr>
      <w:r w:rsidDel="00000000" w:rsidR="00000000" w:rsidRPr="00000000">
        <w:rPr>
          <w:rtl w:val="0"/>
        </w:rPr>
        <w:t xml:space="preserve">Hugo is more discursive on the subject, inevitably, especially in his reflections on how argot both constitutes a colorful language in its own right and at the same time figures as a kind of excrescence on standard language that reflects the misère of its users. In this apparent contradiction, Bellos points out, lies the problem we still face: Would speakers of various dialects be better off if they learned a standard language? In Les Misérables, both the villainous Thénardiers and the loveable gamin Gavroche are examples of “functional diglossia,” competent in whatever register of language is needed for the occasion.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characters’ various idiolects, along with Hugo’s often Latinate rhetoric, give the novel “an opulent, overblown style that is the opposite of how composition teachers think English should be written nowadays,” as Bellos puts it. And he goes on to analyze in some detail Hugo’s rhetorical devices. He is an excellent guide to a kind of nineteenth-century high style that needs to be enjoyed for itself if we are to respond fully to Hugo’s epic ambitions. At his best, Hugo achieves an eloquence hard to match. For instance, this passage on Jean Valjean’s anger after his years of incarceration: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After all, human society had done him nothing but harm. This angry face that it calls Justice, and that it presents to those it smites, was the only one he had ever seen. The only reason other people had laid a hand on him was to hurt him. He had had no physical contact with anyone that had not been a blow struck against him…. With every succeeding injury, he had gradually come to the firm belief that life is a war, and in this war he was the vanquished. He had no other weapon than his hatred. He resolved to hone it in prison and take it with him when he left.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But Hugo’s epic ambitions often fail to create a successful novel, in part because we rarely see the world through the eyes of the main character, Jean Valjean. If the genius of the novel as an imaginative form is closely linked to its ability to make us see through other eyes, to experience life through another consciousness (Flaubert, Dostoevsky, James, and Proust all testify to this), Hugo does not make much use of Valjean as a means to observe the world. “Valjean must surely be the least talkative protagonist of nineteenth-century fiction before Melville’s Bartleby,” writes Bellos (though Bartleby in fact predates Valjean by a decade).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Hugo makes no attempt to create a spoken language for this peasant turned mayor. At two moments of critical decision-making—whether he should reveal his ex-convict status to save the innocent Champmathieu from conviction in his place, and whether he should give Cosette up to her beloved Marius—we are witness to a kind of dramatic formal debate within Valjean’s mind. Hugo offers crises of conscience, then, but no attempt to render the movements of consciousness. We follow Valjean’s actions instead, along with the novelist’s commentary on them. The famous slog through the sewers of Paris, “the Intestine of Leviathan,” in which Valjean carries the wounded Marius over his shoulder, unfolds with scarcely a reflection from the hero.</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It is also preceded by Hugo’s disquisition on the sewers, which includes passages on the loss of useful fertilizer that should be recycled rather than dumped in the Seine, the progress of their extension and improvement over the years (Parent-Duchâtelet had done an important study of Paris sewers a few years before his work on prostitution), and recommendations for future progress. Balzac and Tolstoy can annoy us with their polemical digressions, but in Les Misérables, just about every piece of action is preceded by a kind of essay. The novel begins with a long presentation of the character of Bishop Myriel before Valjean ever appears at his door. Part II starts with a memorable essay on the Battle of Waterloo, Part III with a memorandum on the street children of Paris, and Part IV with an essay on the virtues and shortcomings of King Louis-Philippe, who reigned from 1830 until the revolution of 1848—the latter the subject of another digression at the start of Part V. Les Misérables breaks all the rules of novelistic composition.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It is clear that its popularity has never suffered from its overstuffed repletion. As the notably durable musical adaptation from 1980 demonstrated, there is something for everyone in Les Mis. Hugo’s capacity to play on a full emotional register, from saccharine pathos to heroic uplift, has given his novel an afterlife that seems to defy the changes of taste over the decades. It’s as popular in Russia as in France; it has lent itself to Japanese animated film adaptations and to numberless fan fictions. The main figures remain untouched by adaptation, elements of a universe that still corresponds to our understanding of how life can be reconfigured in the heightened conflicts of melodrama.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Bellos titles his first chapter “Victor Hugo Opens His Eyes,” which picks from Hugo’s Choses vues, the journal in which he recounted things that struck him, a couple of powerful incidents that would be incorporated in the novel. In one, a well-dressed young man on a wintry night shoves a handful of snow down the back of a prostitute, she fights back, and she is arrested. Hugo follows her to the police station and, as a celebrity, obtains her release. That story, with Fantine and Valjean as the principal actors, would become part of the novel. In another episode, Hugo witnessed a wretch being dragged to prison for stealing a loaf of bread, while a “dazzlingly beautiful” aristocratic woman played with her baby in her silk-upholstered carriage. The miserable man stares at the woman, but she never looks at him. There for Hugo is the potential for revolution: “Once this man realizes that this woman exists while the woman does not notice that the man is there, a catastrophe is inevitable.”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Hugo, who began his literary career as a young royalist, coeditor with his brothers of the magazine Le Conservateur littéraire, evolved toward political liberalism and then, in his unrelenting opposition to Napoleon III and the criminal coup d’état that began his reign, became the very symbol of resistance to an authoritarian state. His politics were visceral rather than theoretical, but almost always marked by a spirit of generosity and reconciliation. Though he fought against the workers’ uprising in the June Days of 1848 (and tried to explain why in one of the digressions of Les Misérables), by the spring of 1871 and the bloody suppression of the Paris Commune by the official government—which sent the French army from Versailles to invade the city—Hugo was the rare public figure who offered refuge, in Belgium, for those Communards who escaped the slaughter and agitated for their amnesty.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his final novel, Quatrevingt-treize (Ninety-Three, named for the year of the Terror during the French Revolution), he attempted a reconciliation of his warring compatriots: those who had never accepted the republic and those for whom the republic was the indisputable inception of the modern world. That novel, for all its inflated rhetoric, concludes in extraordinary final chapters in which the three main characters—an unredeemed Breton aristocrat, his great-nephew who becomes a republican general, and a former priest who becomes a doctrinaire revolutionary—debate the meaning of revolution, rights, justice, equality, and social democracy.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Les Misérables, at the moment of the barricade of the rue de la Chanvrerie during the brief uprising sparked by the funeral of General Lamarque in 1832, Hugo expresses his solidarity with the “magnificent human movement irresistibly begun on July 14, 1789…. The French Revolution is an act of God.” That sums up his political and humanitarian commitment as well as anything. To remain faithful to the spirit of the French Revolution means taking notice of social misery and committing yourself to a future of social justice. He compares the work of criminal punishment to the sea closing over a drowning man: “the inexorable social night into which the penal system throws its condemned.” That’s a lesson that we still need to hear. In his allegiance to the French Revolution, Hugo takes from the slogan “liberté, égalité, fraternité” especially the last term, and he makes it his own: Les Misérables is an operatic tribute to fraternity, to social cohesion, to the notion that we are stronger together than apart.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Ending at the Beginning</w:t>
      </w:r>
    </w:p>
    <w:p w:rsidR="00000000" w:rsidDel="00000000" w:rsidP="00000000" w:rsidRDefault="00000000" w:rsidRPr="00000000">
      <w:pPr>
        <w:contextualSpacing w:val="0"/>
        <w:rPr/>
      </w:pPr>
      <w:r w:rsidDel="00000000" w:rsidR="00000000" w:rsidRPr="00000000">
        <w:rPr>
          <w:rtl w:val="0"/>
        </w:rPr>
        <w:t xml:space="preserve">John Banville AUGUST 17, 2017 ISSUE</w:t>
      </w:r>
    </w:p>
    <w:p w:rsidR="00000000" w:rsidDel="00000000" w:rsidP="00000000" w:rsidRDefault="00000000" w:rsidRPr="00000000">
      <w:pPr>
        <w:contextualSpacing w:val="0"/>
        <w:rPr/>
      </w:pPr>
      <w:r w:rsidDel="00000000" w:rsidR="00000000" w:rsidRPr="00000000">
        <w:rPr>
          <w:rtl w:val="0"/>
        </w:rPr>
        <w:t xml:space="preserve">Kafka: The Early Years</w:t>
      </w:r>
    </w:p>
    <w:p w:rsidR="00000000" w:rsidDel="00000000" w:rsidP="00000000" w:rsidRDefault="00000000" w:rsidRPr="00000000">
      <w:pPr>
        <w:contextualSpacing w:val="0"/>
        <w:rPr/>
      </w:pPr>
      <w:r w:rsidDel="00000000" w:rsidR="00000000" w:rsidRPr="00000000">
        <w:rPr>
          <w:rtl w:val="0"/>
        </w:rPr>
        <w:t xml:space="preserve">by Reiner Stach, translated from the German by Shelley Frisch</w:t>
      </w:r>
    </w:p>
    <w:p w:rsidR="00000000" w:rsidDel="00000000" w:rsidP="00000000" w:rsidRDefault="00000000" w:rsidRPr="00000000">
      <w:pPr>
        <w:contextualSpacing w:val="0"/>
        <w:rPr/>
      </w:pPr>
      <w:r w:rsidDel="00000000" w:rsidR="00000000" w:rsidRPr="00000000">
        <w:rPr>
          <w:rtl w:val="0"/>
        </w:rPr>
        <w:t xml:space="preserve">Princeton University Press, 564 pp., $35.00</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Max Brod, Franz Kafka: Eine Biographie (Prague: H. Mercy Sohn, 1937)</w:t>
      </w:r>
    </w:p>
    <w:p w:rsidR="00000000" w:rsidDel="00000000" w:rsidP="00000000" w:rsidRDefault="00000000" w:rsidRPr="00000000">
      <w:pPr>
        <w:contextualSpacing w:val="0"/>
        <w:rPr/>
      </w:pPr>
      <w:r w:rsidDel="00000000" w:rsidR="00000000" w:rsidRPr="00000000">
        <w:rPr>
          <w:rtl w:val="0"/>
        </w:rPr>
        <w:t xml:space="preserve">Franz Kafka (right) with Max Brod’s younger brother, Otto, at the Castel Toblino near Trento, Italy, 1909</w:t>
      </w:r>
    </w:p>
    <w:p w:rsidR="00000000" w:rsidDel="00000000" w:rsidP="00000000" w:rsidRDefault="00000000" w:rsidRPr="00000000">
      <w:pPr>
        <w:contextualSpacing w:val="0"/>
        <w:rPr/>
      </w:pPr>
      <w:r w:rsidDel="00000000" w:rsidR="00000000" w:rsidRPr="00000000">
        <w:rPr>
          <w:rtl w:val="0"/>
        </w:rPr>
        <w:t xml:space="preserve">Reiner Stach has a droll way with epigraphs, and in Kafka: The Early Years he heads his chapters with a selection of gnomic snippets from numerous ingeniously obscure sources. Chapter 1, for instance, has a tag from a song by Devo, an American rock band of the 1980s: “Think you heard this all before,/Now you’re gonna hear some more.” This is Stach’s impish acknowledgment that the present book is the first of three volumes, the second and third of which have already been published. The joke is a good one, and sends the reader off smiling on what will be a long though immensely rewarding journey. This volume completes one of the great literary biographies of our time—indeed, of any time.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reason for the delay in the appearance of the first volume is explained in a preface by Stach’s devoted and richly gifted translator, Shelley Frisch:</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This order of publication, which may appear counterintuitive—even fittingly “Kafkaesque”—was dictated by years of high-profile legal wrangling for control of the Max Brod literary estate in Israel, during which access to the materials it contained, many of which bore directly on Kafka’s formative years, was barred to scholars.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August of last year the Israeli Supreme Court found against Brod’s heirs, and ordered that the withheld documents be transferred to the National Library in Jerusalem. Frisch states that Stach “has been able to examine three volumes of Brod’s diaries in this collection, those from the years 1909 to 1911,” and indeed it is clear that Stach did draw heavily on the diaries—so heavily that at times the book might be mistaken for a joint biography of Franz Kafka and Max Brod.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However, a mystery remains. Since Stach’s book was originally published in German in 2013, how did he get his hands on the much-needed material from the Brod archive, since the court order for its release was not handed down until 2016? Perhaps he will add an appendix to a future edition explaining how he managed it, for it sounds as if there is a good story there, somewhat in the manner, perhaps, of Henry James’s The Aspern Papers. One hopes that Stach did not at any point in the process find himself hissed at furiously as “you publishing scoundrel!” as did the hapless narrator of James’s tale.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As Frisch notes, the saga of the Brod archive smacks not a little of the Kafkaesque; there are few aspects of Kafka, as man and writer, that do not have a Kafkaesque dimension. How apt, for instance, that an artist who sets an animal as the protagonist, or even as the narrator, of so many of his stories—most notably, of course, “The Metamorphosis”—should have a name that is most likely derived from that of a bird: kavka is the Czech word for jackdaw.* And further, in the matter of names, Kafka’s mother’s family, the Löwys, “were once known,” Stach informs us, “as Boreas, like the god of the north wind, and later as Borges.” One wonders if the great Argentinian fabulist was aware of this admittedly tenuous connection to his Czech precursor. In the world of the kavka, everything makes strange.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Stach opens the narrative of Kafka’s life with one of his brilliant set-piece meteorological recreations of a particular day, in this case July 3, 1883, which was “a clear, pleasant summer’s day, with a gentle breeze wafting through the narrow streets of the Old Town in Prague.” When he first set out to write this biography, two decades ago, his aim, Stach declared, was to show “what it was like to be Kafka.” One of the strategies by which he triumphantly fulfills this aim has been to place the reader as directly as possible in Kafka’s world and time, as he does in this bravura opening description of the day and place of Kafka’s birth:</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Today was a Tuesday, which meant that there were a good many “military concerts” in store. In the spacious beer garden on the Sophieninsel, the hoopla started up at four in the afternoon for tourists, students, and retirees. Most people still had a few more hours of work ahead of them, and those unlucky souls who earned their living in a shop had to wait until after sundown to join the festivities.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It might be the opening of a bildungsroman by Thomas Mann or Robert Musil. The immediacy of Stach’s narrative makes it not only uncannily evocative but compulsively readable, and the three big volumes of his Kafka constitute a work of literature as subtle, as intricate, and as entertaining as any novel.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“No intellectual biography that is situated in the Bohemian metropolis,” Stach writes, “is comprehensible without the history of this city and the surrounding region.” Therefore he goes far back to locate the beginnings of his tale, all the way to the Battle of the White Mountain, near Prague, in November 1620, in which a Protestant alliance of German states was defeated by the Catholic Habsburgs. The battle—the young René Descartes fought in it—lasted no more than two hours and was hardly more than a skirmish, yet it was celebrated with jubilation all over Catholic Europe, and ushered in a period known to Czechs as “the darkness,” which was to last for three centuries.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following year, twenty-seven notable Protestants, including Jan Jessenius, rector of Charles University in Prague, were executed in public in the Old Town Square, as punishment for rebellion and a demonstration of the Habsburgs’ calculated ruthlessness. Praguers to this day retain a strong memory of what they see as the tragedy of the White Mountain; as Stach has it, “In some corners of this city, the intertwining of past and present, of death and life can make the presence of history feel downright eerie.”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Habsburgs were still firmly in power in 1883 when Kafka was born, into a milieu that was an amalgam of ancient resentments and present complacency. He was deeply riven in his attitude toward his native city. He never ceased to bemoan having to live there, yet he was incapable of moving elsewhere. “Prague doesn’t let go,” he famously wrote. “This little mother has claws.” If Bohemia felt itself a victim and an outcast, Kafka had the added burden of being a Jew in Central Europe—although he would plaintively demand to know what he could have in common with the Jews, since he had hardly anything in common with himself. The forebears of both his parents were not Praguers; his father, Hermann, was born in a village near Strakonice in southern Bohemia, and his mother’s people, the Löwys, had lived for generations in Podĕbrady, a town on the river Elbe “in the shadow of a massive castle”; they were “a family of scholars and eccentrics, complete with depressions,” as Stach notes.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Hermann Kafka and Julie Löwy were married in 1882, and the following summer their son Franz was born. When one studies photographs of Franz Kafka—and there are surprisingly many of them for such a notoriously self-effacing person—one is struck by how little he resembles his parents. Hermann Kafka is burly, with a flat skull, a broad face, and a thick neck, the very model of the character Pozzo in Waiting for Godot, while his wife Julie’s most marked feature is her lantern jaw. How did this couple beget a son so delicately made, so tall, and thin to the point of emaciation? It is as if this singular creature were his own self-creation. One cannot imagine anyone looking like Franz Kafka—certainly none of his three sisters did, if, again, we take the photographs as dependable evidence—and there are even instances when he does not look entirely like himself.</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Stach displays a deep tenderness toward his subject as a child. Kafka’s parents ran what used to be called a fancy goods store in central Prague, and Hermann, aggressive and volatile, frequently flew into rages and gave staff their notice on the spot. There was also the fact that the two boys born to Julie Kafka after Franz did not survive long: Georg died of measles when he was fifteen months old, and the next-born, Heinrich, lived only six months before succumbing to meningitis: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These constant fluctuations resulted not only in an atmosphere of tumult and frayed nerves, but also in a series of separations that instilled in little Franz a deep mistrust regarding the consistency of human relationships and wariness of a world in which every face he had become accustomed to or even grown to love could vanish instantly and forever.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For a person as sensitive as Kafka was, or at least as he presented himself as being—it is entirely possible to view his life in a light other than the one he himself shone upon it—inner escape was the only available strategy. “If we are to believe his own personal mythology,” Stach writes, “he drifted out of life and into literature,” to the point, indeed, that as an adult he would declare that he was literature, and nothing else. Stach, however, offers another and, in its way, far more interesting possibility when he asks, “What if literature was the only feasible way back for him?” Yet along this route into the psychological depths of Kafka’s emotional and artistic self we must pick our way carefully, recalling Kafka’s own skepticism toward Freudian analysis—“I consider the therapeutic part of psychoanalysis a helpless error”—and keeping in mind one of what are known as the Zürau aphorisms, in which he declares with uncharacteristic vehemence: “No psychology ever again!”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Naturally much of this volume is taken up with an account of Kafka’s formal education. One might expect that the student years of an artist would be of great biographical interest, but it is rarely the case, and Stach’s account of Kafka’s schooling is no exception. Perhaps the reason is that the education of an artist is for the most part a self-administered process, the progress of which is not recorded in class placings and examination results. If there are longueurs in the present volume, they occur here, as we might guess from the title to Chapter 7: “Kafka, Franz: Model Student.” He was a tireless and omnivorous reader—it is really by reading that writers learn to write—but early on he tried his hand at composition, too, and by the age of twelve or thirteen he had determined to become a writer.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Stach tells us that Kafka “grouped his first literary endeavors under a surprising watchword: coldness,” and lamented: “What a chill pursued me for days on end from what I had written!” It is not clear why the biographer considers this surprising; the first and hardest lesson an artist must learn is to curb the excesses of youthful ardor. A mark of Kafka’s greatness was the distance from himself that he achieved in his writings from the outset. The remarkable story “The Judgment,” composed in a single sitting one night in 1912, which he considered his first fully achieved work, is written at “degree zero,” to use Roland Barthes’s formulation, and maintains a dreamlike steadiness and purity of tone, despite its strongly autobiographical theme—the son humiliated and overborne by the father—and the fact that it was done, the author himself wrote, by way of “a complete opening of body and soul.” Kafka always wrote out of himself, and of himself, without ever imagining that thereby he was directly expressing himself. The artist, he once remarked, is the one who has nothing to say. “He would always speak only of the act of writing as the truly precious element,” Stach observes, “but not of the resulting works, which always conveyed no more than a hazy image of the flash of creation.”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In his diary in 1920 he wrote of a moment when he had a clear glimpse of what would be for him the true creative flame. He was sitting one day, “many years ago,…on the slope of the Laurenziberg,” the hill in the center of Prague that figures in “Description of a Struggle,” brooding on “the wishes I had for my life”: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most important or the most appealing wish was to attain a view of life (and—this was inescapably bound up with it—to convince others of it in writing) in which life retained its natural full complement of rising and falling, but at the same time would be recognized no less clearly as a nothing, as a dream, as a hovering.</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This artistic epiphany—remarkably reminiscent of that interrupted moment in Beckett’s Krapp’s Last Tape when Krapp recognizes that his aim must be to allow into his work the darkness he had always struggled to keep out—is summed up beautifully by Stach when he writes: “The presence of being and nothingness in one and the same moment, in the same object or the same sentence, struck Kafka as a sign of perfection that made life worth living.” And art worth making.</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Early Years brings Kafka through school and college and into his life as “The Formidable Assistant Official,” to quote another of Stach’s chapter headings. Kafka hated his work as an insurance clerk, but he clung to his desk as if it were the raft of the Medusa. In the office he was in a state of unrelenting frustration, yet even there he saw the slapstick comedy of his predicament: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 have so much to do!… People fall off the scaffolds as if they were drunk, into the machines, all the beams topple, all embankments give way, all ladders slip, whatever people carry up falls down, whatever they hand down, people stumble over. And I have a headache from all these girls in porcelain factories who keep throwing themselves down the stairs with mounds of dishware.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Stach is not the first to comment on the peculiarities of Kafka’s lifelong relationship with his fellow writer Max Brod. In the late 1930s, Brod’s biography of his friend was attacked by Walter Benjamin, who was particularly exercised by what he saw as Brod’s entirely mistaken religious interpretation of Kafka’s work. Stach sees Kafka’s connection with the outgoing and essentially middle-brow Brod as a typical cleaving to figures with a stronger, perhaps more elemental, grasp on life and the business of living:</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Kafka felt closest to people whose superior vitality he could share without buckling under, partaking in the lives of others, whose fluxes of energy he could latch on to without ceding control over the dosage of the energy.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It is as if Kafka, believing he could only live vicariously through other people, considered Brod as good an exemplar as any other. Yet it would be hard to imagine a more ill-assorted pair. Brod, a year younger than Kafka, came from a solidly middle-class Jewish background—his father was a successful banker—and therefore found it hard to empathize with the social unease and sense of displacement of Kafka the haberdasher’s son. He even tried to get Kafka to curb his fantastical notion of his father’s power over him. “We know how well that worked,” Stach mordantly observes.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There was too a darker aspect to Brod’s proprietorial attitude to Kafka; as Stach notes, “Deliberate manipulations to serve his own interests, which even extended to altering Kafka’s diaries, have been identified.” Stach is careful to be fair-minded and to suppress what seems an instinctive antipathy toward Brod—it would probably be unfair to attribute this, even in part, to Stach’s lingering irritation over the difficulties he had in securing access to the Brod archive—and he goes so far as to wonder not how Kafka the genius tolerated the mundane Brod, but how Brod in turn put up with Kafka’s endless emotional fidgetings, over his writing, his health, his loves. After all, we have Brod to thank for the very survival of the Kafka oeuvre, since he decided to ignore Kafka’s direction to him to destroy his papers after his death. One might surely forgive a bit of proprietorship, and even a certain fiddling with the facts, in return for the great gift to posterity—to us—of such a literary treasure.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That Kafka was fond of Brod cannot be doubted. Stach gives a comical and wonderfully endearing account of a holiday they took together in 1911:</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“Let’s be quick now,” Kafka said when they arrived at the hotel. “We’re going to be in Paris for only five days. Just give the face a little wash.” Brod rushed off to his room, put down his luggage, took care of the bare necessities, and was back in a matter of minutes. His friend, by contrast, “had taken every last thing out of his suitcase and would not go until he had put everything back in order.” Kafka asked why Brod was carping at him.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On their way to France they had been eager to get there at once, without delay, but at Lake Maggiore they could not resist stopping over for some days, beginning with a swim. Such was their relief from the heat and the stresses of travel “that they embraced while standing in the water,” Stach writes, adding, with po-faced flatness, “—which must have looked quite odd especially because of the difference in their heights.”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How, one wondered, would Stach find an ending to this first volume, which would be an ending also to the magnificent venture he embarked on so many years ago? The solution he comes up with, Mozartian in its deceptive lightness, is wholly captivating. It takes place in a sanatorium on Lake Zurich that Kafka had checked himself into for a rest after that hectic trip to Paris with Brod. So delightful, so magical, are the closing couple of pages that one longs to paraphrase them, but that would be to spoil the perfect balance the biographer achieves between comedy, wistfulness, and faint absurdity, qualities that are as much a mark of Kafka’s writing as its darkness and its terror. There could not have been a better close to this marvelous account of the life of a supremely great artist.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t>
      </w:r>
    </w:p>
    <w:p w:rsidR="00000000" w:rsidDel="00000000" w:rsidP="00000000" w:rsidRDefault="00000000" w:rsidRPr="00000000">
      <w:pPr>
        <w:contextualSpacing w:val="0"/>
        <w:rPr/>
      </w:pPr>
      <w:r w:rsidDel="00000000" w:rsidR="00000000" w:rsidRPr="00000000">
        <w:rPr>
          <w:rFonts w:ascii="Arial Unicode MS" w:cs="Arial Unicode MS" w:eastAsia="Arial Unicode MS" w:hAnsi="Arial Unicode MS"/>
          <w:rtl w:val="0"/>
        </w:rPr>
        <w:t xml:space="preserve">I cannot resist noting that as I was writing this paragraph, a jackdaw flew in through the open window of my study, and got out again only with the greatest difficulty. ↩</w:t>
      </w:r>
    </w:p>
    <w:p w:rsidR="00000000" w:rsidDel="00000000" w:rsidP="00000000" w:rsidRDefault="00000000" w:rsidRPr="00000000">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