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pPr>
      <w:r w:rsidDel="00000000" w:rsidR="00000000" w:rsidRPr="00000000">
        <w:rPr>
          <w:rtl w:val="0"/>
        </w:rPr>
        <w:t xml:space="preserve">Readings for July 2, 2017</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Today’s Issues group will not meet on June 25 because of an early worship service at 10.</w:t>
      </w:r>
    </w:p>
    <w:p w:rsidR="00000000" w:rsidDel="00000000" w:rsidP="00000000" w:rsidRDefault="00000000" w:rsidRPr="00000000">
      <w:pPr>
        <w:pBdr/>
        <w:contextualSpacing w:val="0"/>
        <w:rPr/>
      </w:pPr>
      <w:r w:rsidDel="00000000" w:rsidR="00000000" w:rsidRPr="00000000">
        <w:rPr>
          <w:rtl w:val="0"/>
        </w:rPr>
        <w:t xml:space="preserve">These readings are for July 2</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Mexico in the Full Light of Day</w:t>
      </w:r>
    </w:p>
    <w:p w:rsidR="00000000" w:rsidDel="00000000" w:rsidP="00000000" w:rsidRDefault="00000000" w:rsidRPr="00000000">
      <w:pPr>
        <w:pBdr/>
        <w:contextualSpacing w:val="0"/>
        <w:rPr/>
      </w:pPr>
      <w:r w:rsidDel="00000000" w:rsidR="00000000" w:rsidRPr="00000000">
        <w:rPr>
          <w:rtl w:val="0"/>
        </w:rPr>
        <w:t xml:space="preserve">Enrique Krauze JUNE 8, 2017 ISSUE</w:t>
      </w:r>
    </w:p>
    <w:p w:rsidR="00000000" w:rsidDel="00000000" w:rsidP="00000000" w:rsidRDefault="00000000" w:rsidRPr="00000000">
      <w:pPr>
        <w:pBdr/>
        <w:contextualSpacing w:val="0"/>
        <w:rPr/>
      </w:pPr>
      <w:r w:rsidDel="00000000" w:rsidR="00000000" w:rsidRPr="00000000">
        <w:rPr>
          <w:rtl w:val="0"/>
        </w:rPr>
        <w:t xml:space="preserve">A Visit to Don Otavio: A Mexican Journey</w:t>
      </w:r>
    </w:p>
    <w:p w:rsidR="00000000" w:rsidDel="00000000" w:rsidP="00000000" w:rsidRDefault="00000000" w:rsidRPr="00000000">
      <w:pPr>
        <w:pBdr/>
        <w:contextualSpacing w:val="0"/>
        <w:rPr/>
      </w:pPr>
      <w:r w:rsidDel="00000000" w:rsidR="00000000" w:rsidRPr="00000000">
        <w:rPr>
          <w:rtl w:val="0"/>
        </w:rPr>
        <w:t xml:space="preserve">by Sybille Bedford, with an introduction by Bruce Chatwin</w:t>
      </w:r>
    </w:p>
    <w:p w:rsidR="00000000" w:rsidDel="00000000" w:rsidP="00000000" w:rsidRDefault="00000000" w:rsidRPr="00000000">
      <w:pPr>
        <w:pBdr/>
        <w:contextualSpacing w:val="0"/>
        <w:rPr/>
      </w:pPr>
      <w:r w:rsidDel="00000000" w:rsidR="00000000" w:rsidRPr="00000000">
        <w:rPr>
          <w:rtl w:val="0"/>
        </w:rPr>
        <w:t xml:space="preserve">New York Review Books, 368 pp., $18.95 (paper)</w:t>
      </w:r>
    </w:p>
    <w:p w:rsidR="00000000" w:rsidDel="00000000" w:rsidP="00000000" w:rsidRDefault="00000000" w:rsidRPr="00000000">
      <w:pPr>
        <w:pBdr/>
        <w:contextualSpacing w:val="0"/>
        <w:rPr/>
      </w:pPr>
      <w:r w:rsidDel="00000000" w:rsidR="00000000" w:rsidRPr="00000000">
        <w:rPr>
          <w:rtl w:val="0"/>
        </w:rPr>
        <w:t xml:space="preserve">Sybille Bedford</w:t>
      </w:r>
    </w:p>
    <w:p w:rsidR="00000000" w:rsidDel="00000000" w:rsidP="00000000" w:rsidRDefault="00000000" w:rsidRPr="00000000">
      <w:pPr>
        <w:pBdr/>
        <w:contextualSpacing w:val="0"/>
        <w:rPr/>
      </w:pPr>
      <w:r w:rsidDel="00000000" w:rsidR="00000000" w:rsidRPr="00000000">
        <w:rPr>
          <w:rtl w:val="0"/>
        </w:rPr>
        <w:t xml:space="preserve">Sybille Bedford; drawing by David Levine</w:t>
      </w:r>
    </w:p>
    <w:p w:rsidR="00000000" w:rsidDel="00000000" w:rsidP="00000000" w:rsidRDefault="00000000" w:rsidRPr="00000000">
      <w:pPr>
        <w:pBdr/>
        <w:contextualSpacing w:val="0"/>
        <w:rPr/>
      </w:pPr>
      <w:r w:rsidDel="00000000" w:rsidR="00000000" w:rsidRPr="00000000">
        <w:rPr>
          <w:rtl w:val="0"/>
        </w:rPr>
        <w:t xml:space="preserve">Many twentieth-century British travel books and novels about Mexico, including D.H. Lawrence’s Mornings in Mexico (1927), Graham Greene’s The Power and the Glory (1940), Evelyn Waugh’s Robbery Under Law (1939), and Malcolm Lowry’s Under the Volcano (1947), focus on the dark side of Mexican history, in a sense its violent night. But there is another, earlier tradition, much calmer and unfolding in the full light of day. The classic example of this is Life in Mexico by the Marquesa Fanny Calderón de la Barca (a Scotswoman born Frances Erskine Inglis, wife of the first Spanish ambassador to independent Mexico). The book is a collection of letters that Calderón wrote while visiting the country between 1839 and 1842.</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It was her reading of Life in Mexico that in 1946 convinced Sybille Bedford to travel to Mexico, where she wrote her first book, A Visit to Don Otavio, originally published in 1953 as The Sudden View. In 1956, Bedford published A Legacy, probably the most important of her semiautobiographical novels.* She went on to write three more novels and seven books of nonfiction before her death in 2006, all characterized by her crisp style and surprising turns of phrase.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Born in Germany in 1911, Bedford was educated in England and from the age of fourteen grew up with her mother and stepfather, who moved in the 1920s from Italy to Sanary-sur-Mer, in the South of France. There she became friendly with Aldous Huxley and associated with what she would later call a “galaxy” of German literary figures, among them Thomas Mann, Arnold Zweig, Franz Werfel, and Alma Mahler. Immediately following the outbreak of World War II, her open opposition to the Nazis and the fact of her Jewish ancestry convinced her that she could no longer live in France. Soon after, she left for the United States, where she lived until her journey to Mexico after the end of the war. As she writes at the beginning of A Visit to Don Otavio, “I had a great longing to move, to hear another language, eat new food; to be in a country with a long nasty history in the past and as little present history as possible.”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Though A Visit to Don Otavio is basically a traveler’s account of the year she spent in Mexico, in his admiring introduction Bruce Chatwin notes that Bedford thought of it as a novel. “I wanted to make something light and poetic,” she told him. Much of the book recounts short but often eventful trips through cities and towns in the center, south, and west of the country—Mexico City, Cuernavaca, Morelia, Pátzcuaro, and Guadalajara—but the second part, the core of the book, is a somewhat picaresque tale based on a long visit to an old hacienda that she refers to as San Pedro Tlayacán, in the western state of Jalisco, by Bedford and her companion Esther Murphy Arthur (referred to in the book as “E.,” she was a brilliant New York intellectual who never managed to write the books expected of her).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Their host, Don Otavio (for some reason spelled incorrectly, as the name should be Octavio), is a learned, pious, and chivalrous bachelor whose father had served as governor of Jalisco and adviser to the dictator Porfirio Díaz. His family has lost much of its fortune and, during the visit, Don Otavio and his three elder brothers discuss the possibility of turning the hacienda into a modern hotel. It lies on the shore of Lake Chapala, where Lawrence had written The Plumed Serpent. But Bedford’s account of Mexico is very different from Lawrence’s. She presents no cults of blood, indigenous priests, or sacrificial offerings. Instead there is nature in its full splendor—“blooms of camilla, jasmine and oleander and the fruits of pomegranate,” “tall, tapering palms,” and “striped birds as fantastically got up as cinquecento gondoliers.”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poetic sensitivity to nature, with its echoes of the many places Bedford had visited or lived, runs throughout the book. “Gray days are unknown…the sky is always clear,” she says about Mexico City. She notes the effect of the clear air on the spirit of its inhabitants: “In the morning we are on the coast of New England…. Warmth lies gently across one’s shoulders.” By eleven o’clock the climate turns “continental” with a brief torrential rain that reminds Bedford of Egypt or Burma, and then suddenly “darkness descends with a sudden extinguishing sweep like the cover on the canary’s cage.”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Bedford treats many aspects of Mexican culture and daily life with humor and grace: the slow passing of time, religious and civil fiestas (celebrated with “barbarity and opulence”), siestas and gunfights, bejeweled women and their sinful secrets, the music—about which Bedford, no fan of Mexican folk or public art, wrote, it “has to be endured to be believed”—and political gossip. Don Otavio, “the last relic of Mexican feudalism,” employs a staff of seventeen servants, whose lives Bedford observes with delicacy, sweetness, and sometimes terror.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Completing the picture is a community of expatriates living on the shores of Lake Chapala: an irascible Englishman who hates Mexico (“dreadful savage country”) and its “natives”; an elderly woman from Virginia who, years before, confronted Mexican revolutionaries with the same rifle that she sleeps with every night in the open air; an aristocratic Creole woman accompanied by a band of mariachis; a mysterious German healer; and the alcoholic town doctor.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travels of the tireless Sybille and the impatient Esther take place after the revolution of the 1910s, the religious persecutions of the 1920s, the Cristero Uprising later that decade (in which rural Catholics rebelled against the anticlerical policies of the state), and the tormented years of the 1930s, when land and oil were nationalized. Although Mexico was still a predominantly rural country, the period after World War II saw the beginning of a process of urbanization and industrialization that would significantly alter its landscape and society.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Bedford shows an impressive feeling for geography. Against the harmful perception of Mexico as a “horn of plenty” (as old as Cortés and still pervasive), she reads the country in a different way: “Mexico looks like the headless part of a large fish, hacked across the middle.” Arid in the north, with tropical forests on its coasts, without navigable rivers, seamed by “two stupendous sierras,” “slit by gorges, gashed by ravines, rent by chasms, blocked by volcanoes,” the rugged surface of that “fish” is far less inviting than earlier romantic depictions of the country had suggested.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Like her predecessor Calderón de la Barca, Bedford uses all of her senses to describe Mexico. Her animated scenes and anecdotes are perspicacious and poetic, never condescending or merely picturesque. Every page contains some stylistic or factual surprise. To illustrate the incredible display of Mexican markets, she reproduces a letter written by the conquistador Hernán Cortés to Emperor Charles V. His description of markets in 1520 was still accurate in 1946 and continues to be so today.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But Bedford also notices something strange about markets in Mexico that sharply distinguishes them from Oriental bazaars: “There is no noise.” Seeking to discover what lies beneath this silence, Bedford walks the streets, travels alongside turkeys on second-class Mexican buses, and talks to the many people she meets. (The real reasons for this comparative silence have to do with customary Indian behavior as well as a tradition of courtesy passed down from the Spanish empire—both features of Mexico that she notes at various points but does not probe.)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Rich Mexican muralist achievements (like all modern Mexican art and literature) don’t at all interest Bedford, but she does at least look at pre-Hispanic sculpture: “You will never be further from Greece,” she comments, and the eccentricity she sees in these figures seems to her symptomatic of “the haphazard, the absurd, the overblown, the savage, the gruesome,” of which she finds examples everywhere in the country.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But for Bedford, who had lived as a child with her father—an impoverished aristocrat and consummate gourmet—an important means to understanding Mexican culture was through its cuisine, which she sees, as she sees most things, from a perspective tilted toward Europe: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cooking of Mexico belongs loosely to the European Mediterranean. The link was obviously made by the Navigators and Spain; perhaps it was strengthened by some shared oriental affinities. The new food was a graft that took well. It suited the climate and the land, and joined quite naturally with the indigenous roots….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Similarly, she is at her most articulate and appreciative when writing about architecture and especially its similarities to the European forms she is familiar with. She deeply admires the palaces of Mexico City and other colonial centers (Morelia, Puebla, Guanajuato) that are constructed from local materials but as products of cultural mixing (mestizaje) have features reminiscent of Spanish and European buildings. While her friend Aldous Huxley thought that the cathedral of Taxco was “one of the most sumptuous and one of the most ugly” buildings he had ever encountered, Bedford considered it “a very splendid affair…shimmering with chromatic tiles.”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Wherever she goes, she is greeted with expressions like beso sus pies (“I kiss your feet”), a sus órdenes (“at your orders”), si Usted lo permite (“if you permit it”), and que Dios las proteja (“may God protect you”). Waiters, hotel employees, businessmen, gentlemen of high society, old generals, and beggars all practice the same old-fashioned courtesy, which charms her. Other aspects of Mexican life seemed to Bedford, and rightly so, surreal: the seller of sandals who refuses to fashion a pair for her because he has made enough money for the day, the new hotel without staircases or running water, the courses at an expensive restaurant delivered to her table all at once.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Bedford’s celebration of Mexican conviviality does not prevent her from noticing its harsher realities as well. She remains unfazed when a bus she is riding is robbed by masked bandits. Throughout the country, she discovers “corruption as a matter of course” and describes cantinas as places where “there is no singing, no music, human or mechanical, there are only smells.” The rows of peasants sleeping on the sidewalks and the “vagrant camp-followers” in the sanctuaries—“prostrate, agape, chanting, swaying, scraping on their knees, hugging images with oriental intensity”—arouse in her not compassion but rather a sense that they are “unarrestable, frightening to the pitch of panic.” She feels this panic again on a rainy night when she is walking alone and sees “silent people sitting in doorways. Nothing happened, but I was seized by such a sense of desolation that several times I broke into a run.”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her chapter “Money and the Tarascan Indians,” Bedford reflects on cultural differences in poverty. The setting is the lake region of Michoacán, inhabited entirely by indigenous peoples, where each ancient village manufactures distinct and complementary products (woolen blankets, chairs and cupboards, guitars and stringed vihuelas, pots and containers, hats, bells, fishing nets, fishhooks, tanned skins, metal products). The region’s agricultural practices are tenaciously pre-Hispanic, though its corrals are occupied by donkeys, goats, and poultry—animals imported by the Spaniards. “They grow what they eat and wear, and sometimes a little more…. There is sugar cane in the fields, tobacco grows in the kitchen garden and coffee in the shrubbery.” It is a communal arrangement that has remained intact since it was established in the sixteenth century by Father Vasco de Quiroga, who took inspiration from Thomas More’s Utopia. The Tarascans rarely use money and travel barefoot over great distances to markets. “The work is hard, but neither monotonous nor mechanical,” writes Bedford, “and a man is largely his own master.”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It is a poor life, but poor for whom? Bedford notes that the Tarascans were masters of their implements and, collectively, of their land: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They have a feeling for ritual and form, and their intercourse with their deities appears to be easy and frequent…. They have leisure: freedom from possessions and that Western thorn, worry….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Her vision of their lives is romanticized but not idealized. She sees them as passionate, hard, and violent people. She acknowledges that they could benefit from “irrigation, conservation of rainwater, storage of grain…anaesthetics,” yet she recognizes that these improvements would be difficult to introduce. “They can hardly be dropped,” she writes, like a “gift-package or loan, into their pattern of existence without disrupting its balance and perhaps its very structure, leaving chaos.”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Though Bedford could not have known, her speculations at that moment would be relevant to an intense debate, in 1951, about Mexico’s economic and social organization. In his book Mexico: The Struggle for Peace and Bread (1950), Frank Tannenbaum advocated for the preservation and strengthening of community life in the Mexican countryside in order to avoid a mass exodus to the cities. But no one in power listened.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“This is not a Western country,” Bedford is told by a Spanish refugee at a gathering in Coyoacán. Three centuries of Spanish colonization, from 1521 to 1821, had not transformed it into a fully Western country but neither had it become merely a replica of obscurantist Spain, closed to the spirit of science and the Enlightenment, which Bedford, as a good liberal, thoroughly despised. “They were very much alone,” Bedford writes of Mexicans, “severed from the established world, cut off from their place in the order of their time…and yet they were hamstrung, pinned to Spain, by a hundred bureaucratic ties.” Her impression strangely coincides with the ideas that Octavio Paz, in his Labyrinth of Solitude, was formulating during those same years.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Bedford narrates the events following Mexico’s independence, the “millennium…from Hidalgo’s revolt against Spanish rule until Calles’ suppression of the Spring Revolution of 1929,” as if it were a tragicomic parade: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Mexico has had a dozen full-blown constitutions and a larger number of Declarations of Independence and Reform…. In their time, some were called liberal, some radical, some centralized…. All followed as well as initiated a great deal of bloodshed…. Liberators, reformers and upholders of the Faith rushed about…murdering everyone in sight. Meanwhile the people got more poor and more confused, and in turn more angry, fatalistic, murderous or cowed.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She refers only in passing and quite superficially to the War of the Reform (1858–1861), which separated church and state more thoroughly than in any other Latin American country. She initially describes the dictatorship of Porfirio Díaz (1876–1911) as “mild and remote and old-fashioned,” and concedes that “he managed—at a price—to establish internal peace, resume somewhat dilapidated foreign relations, and set out to attract foreign capital.” When he was in power, she writes, “the public aspect of the city [was] clean, safe and comfortable,” but she goes on to cast doubt on the depth of this “public aspect”: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smug Edwardian cover pulled over a semi-barbarous country by a business-minded ex-soldier is a window dressing, not for home consumption. There are no home consumers.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But Bedford’s engagement with Díaz is general and limited. His regime achieved a great deal of unprecedented material progress. It founded cities and built harbors, developed industry, commerce, and commercial agriculture, and unified an isolated and territorially divided country. Despite its accomplishments, however, it was a personal dictatorship, repressive and often bloody, and it lasted thirty-five years.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Magnum Photos</w:t>
      </w:r>
    </w:p>
    <w:p w:rsidR="00000000" w:rsidDel="00000000" w:rsidP="00000000" w:rsidRDefault="00000000" w:rsidRPr="00000000">
      <w:pPr>
        <w:pBdr/>
        <w:contextualSpacing w:val="0"/>
        <w:rPr/>
      </w:pPr>
      <w:r w:rsidDel="00000000" w:rsidR="00000000" w:rsidRPr="00000000">
        <w:rPr>
          <w:rtl w:val="0"/>
        </w:rPr>
        <w:t xml:space="preserve">A market in Morelia, Michoacán, 1984; photograph by Alex Webb from La Calle, a collection of his images of Mexico, published by Aperture and the Televisa Foundation. For more on Webb’s book, see Álvaro Enrigue’s essay on the NYR Daily at nybooks.com/lacalle.</w:t>
      </w:r>
    </w:p>
    <w:p w:rsidR="00000000" w:rsidDel="00000000" w:rsidP="00000000" w:rsidRDefault="00000000" w:rsidRPr="00000000">
      <w:pPr>
        <w:pBdr/>
        <w:contextualSpacing w:val="0"/>
        <w:rPr/>
      </w:pPr>
      <w:r w:rsidDel="00000000" w:rsidR="00000000" w:rsidRPr="00000000">
        <w:rPr>
          <w:rtl w:val="0"/>
        </w:rPr>
        <w:t xml:space="preserve">Bedford’s account of Mexico’s history, as detailed in brief passages throughout the book, contains a number of minor errors concerning dates, events, place names, and people, as well as more troubling omissions, especially of twentieth-century events. The book ignores the social achievements of the 1917 Constitution, the protections accorded to workers, the various distributions of land to the peasants, and the considerable (though not total) breaking up of the large haciendas. Nor does it mention the great educational and cultural crusade of José Vasconcelos, who hired hundreds of teachers and founded schools and libraries across the country; published editions of classic books, selling them at very low prices or simply giving them away in poor neighborhoods; and hired and commissioned work from the painters Diego Rivera and José Clemente Orozco, with whom he helped invent Mexican Muralism.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Mexican revolution is discussed quite superficially—without any mention of its results, good or bad, or of the political and social mythologies it inspired. The immense event seemed to her (more than anything) a farce. She does not even mention Emiliano Zapata’s struggle for the rights of the peasantry in the 1910s, and she dismissively refers to Lázaro Cárdenas, the president in the 1930s who nationalized the Mexican oil industry and distributed some 42.5 million acres to peasants, as “so like Lenin and FDR.” Her notion (and specifics) of Mexico as having (she hoped) “as little present history as possible” led her to underestimate, and insufficiently account for, the complexity of Mexico’s present history.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Bedford’s true interest in the history of Mexico involves a focus on the lack of understanding between Mexico and Europe. This is evident in her repeated allusions to the ephemeral Mexican empire of Maximilian, the Hapsburg prince whom (with French support) Mexican conservatives installed as their emperor from 1864 to 1867, and about whose life Bedford had read a great deal. She visits his former country home in Cuernavaca and composes an interesting series of reflections on the convergence of various historical forces after Maximilian’s execution by the Mexican Republic in 1867. Imagining what would have happened if the South had won the American Civil War, she hypothesizes that France would have established its power in America, the United States and Germany would have developed different characteristics and degrees of international power, and perhaps the two world wars would never have happened.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Bedford is most penetrating when she considers the psychological complexity of Maximilian, a child (like herself) of European aristocracy lost in a country that he never truly understood but genuinely loved. When she is in Querétaro, the emperor’s last refuge and the site of his execution, Bedford immerses herself in a long discussion of him and Benito Juárez, the Zapotec Indian president who ordered his death. It is the same subject as Franz Werfel’s 1924 play Juárez und Maximilian. (Bedford came to know Werfel in Sanary, though she does not mention his work here.) Why, Bedford asks, did Juárez not spare Maximilian’s life? She examines in detail the enormous difficulties that Juárez—“that brave and tenacious man”—had faced in order to construct a modern, westward-looking nation: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answers were all stacked for Juarez. Maximilian had conspired against the legitimate government of Mexico; Maximilian had himself issued a decree putting under sentence of death any Mexican bearing arms against the monarchy; Maximilian was backed by powers contrary to the public welfare of the country….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Maximilian had broken the rules. To Juarez who had seen too many die, the rules were more lasting than life, and more important, and in such a case one can never ask, which rules?…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And why did Maximilian, abandoned by France, by Europe, and by his own family, decide to remain in Mexico? Because, Bedford suggests, he had gradually, intimately, and fatally identified with his adversary, whose liberal values he shared.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 was born and live in the landscape and society that Bedford faithfully depicts. Some of the features she describes are certainly still present: the mosaic of Mexican cuisine (more varied even than she, who never visited Yucatán, imagined), the multicolored markets, the adoration of flowers, the fiestas, and the music. Various “Don Otavios,” remnants of an earlier age, still take their evening walks through the streets of the provinces. The conviviality that Bedford observed remains the same. The tradition of courtesy and popular piety have not vanished. Nor have the baleful traditions of inequality (“gulf between class and class” as Bedford puts it), poverty, and corruption.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Other things have changed for the better. The Great Temple of the Aztecs—mentioned by Bedford—has been fully excavated and can now be visited near the Zócalo, or main square, in Mexico City. There is a magnificent National Museum of Anthropology and the treasures of the colonial period are well preserved and are now visited by millions of people. The death rate has declined vertiginously, as has the degree of malnutrition. A significant middle class has been expanding for decades and the country has an incipient democracy, with a division of powers, elections overseen by the autonomous Federal Electoral Institute, a multiparty system, and more freedom of speech. Still, even though we have managed to moderate dictatorial or anarchic impulses, many Mexicans, faced with accumulating problems, expect and hope for a messiah, as Bedford predicted.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But the Mexico that Bedford grew to love is essentially gone. The old slow pace of time has sped up. Major crime is carried out not by masked bandits but by large criminal associations, often in collusion with local governments. The violence of the drug wars has escalated to levels not seen since the revolution. The degradation of rural conditions, due in part to a lack of support by the ruling elites, has driven the peasantry into a nomadic existence among the cities of Mexico and the United States. Mexico remains poised between its dark night of violence and its daylight of joy and energy, awaiting some new resolution.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—Translated from the Spanish by Hank Heifetz</w:t>
      </w:r>
    </w:p>
    <w:p w:rsidR="00000000" w:rsidDel="00000000" w:rsidP="00000000" w:rsidRDefault="00000000" w:rsidRPr="00000000">
      <w:pPr>
        <w:pBdr/>
        <w:contextualSpacing w:val="0"/>
        <w:rPr/>
      </w:pPr>
      <w:r w:rsidDel="00000000" w:rsidR="00000000" w:rsidRPr="00000000">
        <w:rPr>
          <w:rtl w:val="0"/>
        </w:rPr>
        <w:t xml:space="preserv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How He Used Facebook to Win</w:t>
      </w:r>
    </w:p>
    <w:p w:rsidR="00000000" w:rsidDel="00000000" w:rsidP="00000000" w:rsidRDefault="00000000" w:rsidRPr="00000000">
      <w:pPr>
        <w:pBdr/>
        <w:contextualSpacing w:val="0"/>
        <w:rPr/>
      </w:pPr>
      <w:r w:rsidDel="00000000" w:rsidR="00000000" w:rsidRPr="00000000">
        <w:rPr>
          <w:rtl w:val="0"/>
        </w:rPr>
        <w:t xml:space="preserve">Sue Halpern JUNE 8, 2017 ISSUE</w:t>
      </w:r>
    </w:p>
    <w:p w:rsidR="00000000" w:rsidDel="00000000" w:rsidP="00000000" w:rsidRDefault="00000000" w:rsidRPr="00000000">
      <w:pPr>
        <w:pBdr/>
        <w:contextualSpacing w:val="0"/>
        <w:rPr/>
      </w:pPr>
      <w:r w:rsidDel="00000000" w:rsidR="00000000" w:rsidRPr="00000000">
        <w:rPr>
          <w:rtl w:val="0"/>
        </w:rPr>
        <w:t xml:space="preserve">Prototype Politics: Technology-Intensive Campaigning and the Data of Democracy</w:t>
      </w:r>
    </w:p>
    <w:p w:rsidR="00000000" w:rsidDel="00000000" w:rsidP="00000000" w:rsidRDefault="00000000" w:rsidRPr="00000000">
      <w:pPr>
        <w:pBdr/>
        <w:contextualSpacing w:val="0"/>
        <w:rPr/>
      </w:pPr>
      <w:r w:rsidDel="00000000" w:rsidR="00000000" w:rsidRPr="00000000">
        <w:rPr>
          <w:rtl w:val="0"/>
        </w:rPr>
        <w:t xml:space="preserve">by Daniel Kreiss</w:t>
      </w:r>
    </w:p>
    <w:p w:rsidR="00000000" w:rsidDel="00000000" w:rsidP="00000000" w:rsidRDefault="00000000" w:rsidRPr="00000000">
      <w:pPr>
        <w:pBdr/>
        <w:contextualSpacing w:val="0"/>
        <w:rPr/>
      </w:pPr>
      <w:r w:rsidDel="00000000" w:rsidR="00000000" w:rsidRPr="00000000">
        <w:rPr>
          <w:rtl w:val="0"/>
        </w:rPr>
        <w:t xml:space="preserve">Oxford University Press, 291 pp., $99.00; $27.95 (paper)</w:t>
      </w:r>
    </w:p>
    <w:p w:rsidR="00000000" w:rsidDel="00000000" w:rsidP="00000000" w:rsidRDefault="00000000" w:rsidRPr="00000000">
      <w:pPr>
        <w:pBdr/>
        <w:contextualSpacing w:val="0"/>
        <w:rPr/>
      </w:pPr>
      <w:r w:rsidDel="00000000" w:rsidR="00000000" w:rsidRPr="00000000">
        <w:rPr>
          <w:rtl w:val="0"/>
        </w:rPr>
        <w:t xml:space="preserve">Hacking the Electorate: How Campaigns Perceive Voters</w:t>
      </w:r>
    </w:p>
    <w:p w:rsidR="00000000" w:rsidDel="00000000" w:rsidP="00000000" w:rsidRDefault="00000000" w:rsidRPr="00000000">
      <w:pPr>
        <w:pBdr/>
        <w:contextualSpacing w:val="0"/>
        <w:rPr/>
      </w:pPr>
      <w:r w:rsidDel="00000000" w:rsidR="00000000" w:rsidRPr="00000000">
        <w:rPr>
          <w:rtl w:val="0"/>
        </w:rPr>
        <w:t xml:space="preserve">by Eitan D. Hersh</w:t>
      </w:r>
    </w:p>
    <w:p w:rsidR="00000000" w:rsidDel="00000000" w:rsidP="00000000" w:rsidRDefault="00000000" w:rsidRPr="00000000">
      <w:pPr>
        <w:pBdr/>
        <w:contextualSpacing w:val="0"/>
        <w:rPr/>
      </w:pPr>
      <w:r w:rsidDel="00000000" w:rsidR="00000000" w:rsidRPr="00000000">
        <w:rPr>
          <w:rtl w:val="0"/>
        </w:rPr>
        <w:t xml:space="preserve">Cambridge University Press, 261 pp., $80.00; $30.99 (paper)</w:t>
      </w:r>
    </w:p>
    <w:p w:rsidR="00000000" w:rsidDel="00000000" w:rsidP="00000000" w:rsidRDefault="00000000" w:rsidRPr="00000000">
      <w:pPr>
        <w:pBdr/>
        <w:contextualSpacing w:val="0"/>
        <w:rPr/>
      </w:pPr>
      <w:r w:rsidDel="00000000" w:rsidR="00000000" w:rsidRPr="00000000">
        <w:rPr>
          <w:rtl w:val="0"/>
        </w:rPr>
        <w:t xml:space="preserve">Donald Trump</w:t>
      </w:r>
    </w:p>
    <w:p w:rsidR="00000000" w:rsidDel="00000000" w:rsidP="00000000" w:rsidRDefault="00000000" w:rsidRPr="00000000">
      <w:pPr>
        <w:pBdr/>
        <w:contextualSpacing w:val="0"/>
        <w:rPr/>
      </w:pPr>
      <w:r w:rsidDel="00000000" w:rsidR="00000000" w:rsidRPr="00000000">
        <w:rPr>
          <w:rtl w:val="0"/>
        </w:rPr>
        <w:t xml:space="preserve">Donald Trump; drawing by James Ferguson</w:t>
      </w:r>
    </w:p>
    <w:p w:rsidR="00000000" w:rsidDel="00000000" w:rsidP="00000000" w:rsidRDefault="00000000" w:rsidRPr="00000000">
      <w:pPr>
        <w:pBdr/>
        <w:contextualSpacing w:val="0"/>
        <w:rPr/>
      </w:pPr>
      <w:r w:rsidDel="00000000" w:rsidR="00000000" w:rsidRPr="00000000">
        <w:rPr>
          <w:rtl w:val="0"/>
        </w:rPr>
        <w:t xml:space="preserve">Not long after Donald Trump’s surprising presidential victory, an article published in the Swiss weekly Das Magazin, and reprinted online in English by Vice, began churning through the Internet. While pundits were dissecting the collapse of Hillary Clinton’s campaign, the journalists for Das Magazin, Hannes Grassegger and Mikael Krogerus, pointed to an entirely different explanation—the work of Cambridge Analytica, a data science firm created by a British company with deep ties to the British and American defense industries.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According to Grassegger and Krogerus, Cambridge Analytica had used psychological data culled from Facebook, paired with vast amounts of consumer information purchased from data-mining companies, to develop algorithms that were supposedly able to identify the psychological makeup of every voter in the American electorate. The company then developed political messages tailored to appeal to the emotions of each one. As the New York Times reporters Nicholas Confessore and Danny Hakim described it: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 voter deemed neurotic might be shown a gun-rights commercial featuring burglars breaking into a home, rather than a defense of the Second Amendment; political ads warning of the dangers posed by the Islamic State could be targeted directly at voters prone to anxiety….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Even more troubling was the underhanded way in which Cambridge Analytica appeared to have obtained its information. Using an Amazon site called Mechanical Turk, the company paid one hundred thousand people in the United States a dollar or two to fill out an online survey. But in order to receive payment, those people were also required to download an app that gave Cambridge Analytica access to the profiles of their unwitting Facebook friends. These profiles included their Facebook “likes” and their own contact lists.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According to the investigative reporter Mattathias Schwartz, writing in The Intercept, a further 185,000 people were recruited from an unnamed data company, to gain access to another 30 million Facebook profiles. Again, none of these 30 million people knew their data were being harvested and analyzed for the benefit of an American political campaign.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Facebook did turn out to be essential to Trump’s victory, but not in the way Grassegger, Krogerus, and Schwartz suggest. Though there is little doubt that Cambridge Analytica exploited members of the social network, Facebook’s real influence came from the campaign’s strategic and perfectly legal use of Facebook’s suite of marketing tools. (It should be noted that internal Facebook documents leaked in early May show that Facebook itself has been mining users’ emotional states and sharing that information with advertisers.)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After the initial alarm that an obscure data firm might have wormed its way into the American psyche deeply enough to deliver the election to Trump, critics began to question what Alexander Nix, the head of Cambridge Analytica, called the firm’s “secret sauce,” the algorithms it used to predict a voter’s psychological profile, what is known as “psychographics.” Confessore and Hakim’s article about the firm, which appeared on the front page of the Times, quoted numerous consultants, working for both parties, who were dismissive of the firm’s claims. The mathematician Cathy O’Neil, in a commentary for Bloomberg, called Cambridge Analytica’s secret sauce “just more ketchup.” Using psychological traits to craft appeals to voters, she wrote, wasn’t anything new—every candidate was doing it.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For decades, in fact, campaigns have been using and refining “microtargeting” techniques, looking at religious affiliations, buying habits, demographic traits, voting histories, educational attainment, magazine subscriptions, and the like, parsing the electorate in order to understand which values and issues are driving which voters. For a few election cycles starting at the turn of the century, the Republicans had the advantage, developing a database called Voter Vault that allowed party operatives to understand voters in an increasingly nuanced way. During the 2004 presidential campaign, for example, the Bush team surveyed a large sample of these voters to assess their attitudes and behaviors, and sorted them into thirty groups, each with similar interests, lifestyles, ideologies, and affinities. It then placed every other voter into one of these groups and developed messaging intended to appeal to each one.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By 2008, however, the microtargeting advantage had shifted to the Democrats, who had developed their own enormous, dissectable database of voters called VoteBuilder, run by the Democratic National Committee, and others run by for-profit companies that had been created to support the party’s candidates. One of these, Catalist, boasts a national database of 240 million people of voting age, with information on each one drawn from voting rolls, the census, and other public records, as well as commercial data covering “hundreds of fields, including household attributes, purchasing and investment profiles, donation behavior, occupational information, recreational interests, and engagement with civic and community groups.” In 2008 and 2012, the Democrats also had more sophisticated models predicting how people with certain attributes might vote.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the course of the 2016 election, the Trump campaign ended up relying on three voter databases: the one supplied by Cambridge Analytica, with its 5,000 data points on 220 million Americans including, according to its website, personality profiles on all of them; the RNC’s enhanced Voter Vault, which claims to have more than 300 terabytes of data, including 7,700,545,385 microtargeting data points on nearly 200 million voters; and its own custom-designed one, called Project Alamo, culled in part from the millions of small donors to the campaign and e-mail addresses gathered at rallies, from sales of campaign merchandise, and even from text messages sent to the campaign. Eventually, Project Alamo also came to include data from the other two databases.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 principal force behind these various strategies was Brad Parscale, who served as the digital director of the Trump campaign from the primaries through the general election and who in the late spring of 2016 hired Cambridge Analytica as part of this effort. Parscale, who works out of San Antonio, had designed websites for Trump Wineries and other Trump enterprises. Through that work he became friends with Eric Trump, Donald Trump’s son, and Jared Kushner, Trump’s son-in-law and adviser, who Parscale says is like a brother to him.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Further binding these family ties, Parscale’s marketing and design firm, Giles-Parscale, recently hired Eric Trump’s wife, Lara, to work on Donald Trump’s 2020 reelection campaign. “My loyalty is to the family,” Parscale told the journalists Joshua Green and Sasha Issenberg, whose Bloomberg article “Inside the Trump Bunker, with Days to Go,” on the campaign’s digital strategy, turned out to be the most prescient piece written about Trump’s stunning upset.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the early phase of the primaries, Parscale launched Trump’s digital operation by buying $2 million in Facebook ads—his entire budget at the time. He then uploaded all known Trump supporters into the Facebook advertising platform and, using a Facebook tool called Custom Audiences from Customer Lists, matched actual supporters with their virtual doppelgangers and then, using another Facebook tool, parsed them by race, ethnicity, gender, location, and other identities and affinities. From there he used Facebook’s Lookalike Audiences tool to find people with interests and qualities similar to those of his original cohort and developed ads based on those characteristics, which he tested using Facebook’s Brand Lift surveys. He was just getting started. Eventually, Parscale’s shop was reportedly spending $70 million a month on digital advertising, most of it on Facebook. (Facebook and other online venues also netted Trump at least $250 million in donations.)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While it may not have created individual messages for every voter, the Trump campaign used Facebook’s vast reach, relatively low cost, and rapid turnaround to test tens of thousands and sometimes hundreds of thousands of different campaign ads. According to Issie Lapowsky of Wired, speaking with Gary Coby, director of advertising at the Republican National Committee and a member of Trump’s digital team: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On any given day…the campaign was running 40,000 to 50,000 variants of its ads, testing how they performed in different formats, with subtitles and without, and static versus video, among other small differences. On the day of the third presidential debate in October, the team ran 175,000 variations. Coby calls this approach “A/B testing on steroids.”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And this was just Facebook. The campaign also placed ads on other social media, including Twitter and Snapchat, and ran sponsored content on Politico. According to one estimate by a campaign insider, the Trump team spent “in the high eight figures just on persuasion.” Remarkably, none of this money was used on ads created from Cambridge Analytica’s questionably obtained Facebook data.</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Not long after touting the edge it gave the Trump campaign, Cambridge Analytica began walking back its initial claim that psychological targeting was crucial to Trump’s victory. “I don’t want to break your heart; we actually didn’t do any psychographics with the Trump campaign,” Matt Oczkowski, Cambridge Analytica’s chief data scientist, told a panel hosted by Google five weeks after the election. Because the firm was only brought onto the Trump campaign the summer before the general election, he said, “we had five months to scale extremely fast, and doing sexy psychographics profiles requires a much longer run time.” Apparently, Cambridge Analytica had deployed its psychological targeting techniques during the Republican primaries on behalf of Ted Cruz, but Cruz’s failure to win the nomination was cited as evidence that Cambridge Analytica’s models were ineffective and that the company did not understand American politics.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Though Cambridge Analytica came late to American elections, its British parent company, Strategic Communications Laboratories (SCL), has been a client of the United States government for years. SCL has “provided intelligence assessments for American defense contractors in Iran, Libya and Syria,” according to the Times, and developed so-called influence campaigns for NATO in Afghanistan. Also in Afghanistan, SCL engaged in “target audience analysis” for the United States Department of Defense, identifying who was susceptible to American propaganda. The firm’s methodology, according to its website, has been approved by the UK Ministry of Defence, the US State Department, Sandia National Laboratories, and NATO. It seeks “to understand empirically what the right levers or ‘triggers and filters’ in a given population are, based on a penetrating psychological understanding.” SCL is currently seeking contracts with at least a dozen US agencies, and The Washington Post recently reported that it has already secured work with the State Department.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Strategic Communications Laboratories may have a special advantage in these efforts now that Cambridge Analytica is largely controlled by Robert Mercer, one of Trump’s major donors. According to The Guardian, Mercer now owns 90 percent of the company, with SCL owning the remaining 10 percent. (Mercer is also the money behind Breitbart News, the website credited with serving up fake and hyped-up articles to incite Trump’s base.) Steve Bannon, Trump’s chief strategist and the former executive chairman of Breitbart News, was on the Cambridge Analytica board until he became the Trump campaign’s chief executive. Robert Mercer’s daughter, Rebekah, served on Trump’s transition team and has stayed on as a Trump adviser. She now runs Making America Great, a pro-Trump advocacy organization largely funded by her father that is dedicated to creating influence campaigns to push what has been called a nationalist—anti-immigration, anti-government—agenda. Its day-to-day director is Emily Cornell, who stepped down as Cambridge Analytica’s senior vice-president for political affairs to take the position.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Alex Welsh</w:t>
      </w:r>
    </w:p>
    <w:p w:rsidR="00000000" w:rsidDel="00000000" w:rsidP="00000000" w:rsidRDefault="00000000" w:rsidRPr="00000000">
      <w:pPr>
        <w:pBdr/>
        <w:contextualSpacing w:val="0"/>
        <w:rPr/>
      </w:pPr>
      <w:r w:rsidDel="00000000" w:rsidR="00000000" w:rsidRPr="00000000">
        <w:rPr>
          <w:rtl w:val="0"/>
        </w:rPr>
        <w:t xml:space="preserve">Brad Parscale, the Trump campaign’s digital director, Trump Tower, New York City, October 2016</w:t>
      </w:r>
    </w:p>
    <w:p w:rsidR="00000000" w:rsidDel="00000000" w:rsidP="00000000" w:rsidRDefault="00000000" w:rsidRPr="00000000">
      <w:pPr>
        <w:pBdr/>
        <w:contextualSpacing w:val="0"/>
        <w:rPr/>
      </w:pPr>
      <w:r w:rsidDel="00000000" w:rsidR="00000000" w:rsidRPr="00000000">
        <w:rPr>
          <w:rtl w:val="0"/>
        </w:rPr>
        <w:t xml:space="preserve">Meanwhile, as SCL pursues government contracts, Cambridge Analytica is also vying to create influence campaigns on behalf of the Trump Organization, the parent company of Trump’s various business interests. As an unnamed conservative digital strategist told The Guardian, the data from Cambridge Analytica could be helpful in both “driving sales and driving policy goals. Cambridge is positioned to be the preferred vendor for all that.”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But weeks before the Mercers set up Making America Great, Brad Parscale had already created his own Trump advocacy group, called America First Policies. The creation of two independent organizations both ostensibly aimed at mustering support for Trump appears to have presaged the fault line that is now emerging between Steve Bannon and the Mercers on one side, and Jared Kushner (and by default Giles-Parscale) on the other. This division was also manifest days after the election as members of team Trump took a victory lap, with Cambridge Analytica’s Nix crediting his firm with the win, and Parscale declaring to the contrary that it was his and Kushner’s overall digital strategy that took Trump over the top.</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Either way, that rift pulls back the curtain on contemporary electioneering—electioneering in the age of big data and social media, both of which were crucial to Trump’s victory, and were used in innovative ways that are likely to be adopted by other candidates from both parties. As Daniel Kreiss points out in his book Prototype Politics, losing campaigns, especially, look to the winning one “to find models for future action.”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There is no doubt that Trump’s digital operation—overseen by Parscale with the involvement of Giles-Parscale, Cambridge Analytica, the Republican National Committee, and scores of contractors—drew heavily on Barack Obama’s 2012 reelection playbook. Recalling that campaign, Kreiss describes how the Democrats repurposed a marketing strategy called “uplift” or “brand lift” and used it to pursue voters they identified as receptive to Obama’s message. They did so by gathering millions of data points on the electorate from public sources, commercial information brokers, and their own surveys, then polling voters with great frequency and looking for patterns in the responses.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All this was used to create predictive models of who was likely to vote for Obama, who was not, and who was open to persuasion. It also indicated who would be disinclined to vote for Obama if contacted by the campaign. These models sorted individuals into categories—let’s say, mothers concerned about gun violence or millennials with significant college debt—and these categories were used to tailor communications to members of each group. Kreiss observes that such sorting was necessary because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it would have been nearly impossible to create personalized messages for individuals from a labor standpoint…. And…the cost of testing individual appeals to determine whether they were actually successful in order to justify the expense of creating them would have been astronomical.</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his 2015 book Hacking the Electorate, Eitan Hersh is skeptical about the value of commercial data in predicting political outcomes—his research shows that public records are crucial. Echoing Kreiss, he writes that “even in well-financed campaigns, there is rarely an interest among campaign strategists to send fifty different messages to fifty different segments of voters.” The Trump campaign, with its “A/B testing on steroids,” turned this conventional wisdom on its head.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There were other digital innovations as well. On election day, for example, the Trump campaign bought all the ad space on YouTube and ran a series of five thirty-second videos, each hosted by a different Trump surrogate representing a particular segment of the Trump base. We “learned that putting Mr. Trump on persuasion ads was a bad idea,” Cambridge Analytica’s Oczkowski said in April at a meeting of the Association for Data-Driven Marketing and Advertising in Melbourne, Australia. Instead, there was Ivanka Trump, representing mothers and business women; Willie Robertson, the star of the television show Duck Dynasty, to appeal to southerners and hunters; Milwaukee sheriff David Clarke, representing law and order and diversity (he is African-American); the former Navy Seal Marcus Luttrell to appeal to veterans and their families; and Ultimate Fighting Championship president Dana White, a tough, aggressive guy’s guy.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“There was no targeting,” Oczkowski explained. “Every single American who [went] to YouTube that day [saw these ads].” And, he continued, once viewers watched one of the thirty-second videos to the end, they landed on a screen with a polling place locator. “We had tens of millions of people view the videos and hundreds of thousands of people use the ‘find your polling place’ locator. When you’re talking about winning by thousands of votes, this stuff matters,” Oczkowski said.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Parscale’s strategy of using Facebook’s “dark posts” also turned out to matter, enabling the Trump campaign to attack Clinton with targeted negative ads that flew below the public radar. Dark posts are not illegal. They are not necessarily “dark.” Unlike a regular Facebook advertisement, which appears on one’s timeline and can be seen by one’s friends, dark posts are invisible to everyone but the recipient. Facebook promotes them as “unpublished” posts that “allow you to test different creative variations with specific audiences without overloading people on your Page with non-relevant or repetitive messages.”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Phrased this way, dark posts sound benign, even benevolent. Parscale and his crew had other ideas. Facebook dark posts, used in tandem with more traditional attack ads, were part of the Trump team’s concerted effort to dissuade potential Clinton voters from showing up at the polls. (In March, Cambridge Analytica won an Advertising Research Foundation David Ogilvy Award for its “Can’t Run Her House” ad, which used a clip from the 2008 Democratic primary of Michelle Obama criticizing Clinton.)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“We have three major voter suppression operations under way,” a senior campaign official told Bloomberg’s Green and Issenberg. One targeted idealistic white liberals—primarily Bernie Sanders’s supporters; another was aimed at young women—hence the procession of women who claimed to have been sexually assaulted by Bill Clinton and harassed by the candidate herself; and a third went after African-Americans in urban centers where Democrats traditionally have had high voter turnout. One dark post featured a South Park–like animation narrated by Hillary Clinton, using her 1996 remarks about President Bill Clinton’s anti-crime initiative in which she called certain young black men “super predators” who had to be brought “to heel.”</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“We’ve modeled this,” the unnamed senior campaign official told Green and Issenberg. “It will dramatically affect her ability to turn these people out.” And it did. Democratic turnout in battleground states was weak, which was crucial to Trump’s victory. Tallying it up three days after the election, David Plouffe, Obama’s 2008 campaign manager, noted: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Detroit, Mrs. Clinton received roughly 70,000 votes fewer than Mr. Obama did in 2012; she lost Michigan by just 12,000 votes. In Milwaukee County in Wisconsin, she received roughly 40,000 votes fewer than Mr. Obama did, and she lost the state by just 27,000. In Cuyahoga County, Ohio, turnout in majority African-American precincts was down 11 percent from four years ago.</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Trump’s digital team was also aided by the candidate’s unbridled use of Twitter, by WikiLeaks, by fake news generators like Breitbart, and by an army of so-called “Twitter bots,” automated Twitter accounts—many of which are thought to have emanated from Russia and at least one thousand of which the neo-Nazi website Daily Stormer claimed to have created. Together, all this sent a river of pro-Trump and anti-Clinton messages coursing into cyberspace, giving the Trump campaign a continually self-reinforcing narrative. And then there was the candidate himself and his blustery, contradictory pronouncements, often pandering to voters’ racially tinged resentments. This might have been the undoing of another candidate, but for the Trump team it turned out to be an asset.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“Trump didn’t have a lot of ‘Here is my agenda, here is my narrative, I have to persuade people to it,’” Catalist’s Laura Quinn told me.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Trump world was more like, “Let’s say a lot of different things, they don’t even necessarily need to be coherent, and observe, through the wonderful new platforms that allow you to observe how people respond and observe what works, and whatever squirrel everyone chases, that’s going to become our narrative, our agenda, our message.” I’m being very simplistic, but that was the very different approach that truly was creative, different, imaginative, revolutionary—whatever you want to say.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Hillary Clinton won the popular vote, but winning the popular vote does not automatically lead to the White House, and Trump was never going to try to appeal to the entire electorate. Applying Cambridge Analytica’s algorithms, Trump’s data scientists built a model they called Battleground Optimizer Path to Victory to rank and weight the states needed to get to 270 electoral college votes, which was used to run daily simulations of the election. Through this work, the digital team identified 13.5 million persuadable voters in sixteen battleground states, and modeled which combinations of those voters would yield the winning number.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As the campaign wore on, it didn’t look good. The Trump team’s numbers were similar to those being posted by Nate Silver on his FiveThirtyEight website, which showed Hillary Clinton winning handily. Before the election, in a call to reporters, a spokesperson for Cambridge Analytica rated Trump’s chance of winning at 20 percent.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Brad Parscale apparently saw it differently. “You know, I always thought we had a much better chance to win than everyone,” he told NPR’s Rachel Martin. A few weeks before the election, he said he had a hunch from reading Breitbart, Reddit, Facebook, and other nontraditional news sources, and from the campaign’s own surveys, that there were whole segments of the population—people who were angry and disaffected—that were being missed by traditional pollsters and the mainstream media. These were people who may not have voted in the past but would be a stealthy source of support were they to show up on election day. Parscale’s data scientists reweighted their model to reflect this.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Once the Battleground Optimizer Path to Victory model took account of this cohort, and showed that the ones who lived in Rust Belt states had the most likely chance of delivering the presidency to Trump, Parscale’s digital team focused all its resources in those last few weeks on these voters. This included sending the candidate himself to Michigan, Wisconsin, and Pennsylvania in the days before the election, even though those states were considered by most observers likely to be unsympathetic to him, because the reweighted Cambridge Analytica algorithms were pointing there, and those algorithms dictated the candidate’s travel schedule. “[Clinton’s] strategy was…‘if I turn out enough people in urban areas, Republicans can’t make up those numbers in rural areas,’” Cambridge Analytica’s Oczkowski explained. “Little did she know that almost every rural voter in the country was going to show up in this election.”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There are many ways that the Democrats lost the election, starting with the foibles of the candidate herself. If the Republicans had lost, that would have been the prevailing story about them and their candidate as well. That the Republicans didn’t lose can be attributed in large measure to their expert manipulation of social media: Donald Trump is our first Facebook president. His team figured out how to use all the marketing tools of Facebook, as well as Google, the two biggest advertising platforms in the world, to successfully sell a candidate that the majority of Americans did not want. They understood that some numbers matter more than others—in this case the number of angry, largely rural, disenfranchised potential Trump voters—and that Facebook, especially, offered effective methods for pursuing and capturing them. While this is clearly the future of campaigns, both Republican and Democratic, it also appears to be Trump’s approach to governing.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Much was made in the last days of the campaign of the fact that if Donald Trump lost, he could take his huge database, Project Alamo, which he owns outright, and start an insurgent political movement or build his own media company. As Steve Bannon said at the time, “Trump is an entrepreneur.” But Trump didn’t lose, and he still owns that database, and it continues to serve him well. In the first three months of his presidency, when only 36 percent of the country gave him a favorable rating, Trump and the Republicans raised $30 million toward his reelection. As a point of reference, this is twice as much as Obama raised in the first three months of his first term, while enjoying much higher approval ratings. What our Facebook president has discovered is that it actually pays only to please some of the people some of the time. The rest simply don’t count.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