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contextualSpacing w:val="0"/>
        <w:rPr/>
      </w:pPr>
      <w:r w:rsidDel="00000000" w:rsidR="00000000" w:rsidRPr="00000000">
        <w:rPr>
          <w:rtl w:val="0"/>
        </w:rPr>
        <w:t xml:space="preserve">Readings for May 28, 2017</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Catching Up to James Baldwin</w:t>
      </w:r>
    </w:p>
    <w:p w:rsidR="00000000" w:rsidDel="00000000" w:rsidP="00000000" w:rsidRDefault="00000000" w:rsidRPr="00000000">
      <w:pPr>
        <w:pBdr/>
        <w:contextualSpacing w:val="0"/>
        <w:rPr/>
      </w:pPr>
      <w:r w:rsidDel="00000000" w:rsidR="00000000" w:rsidRPr="00000000">
        <w:rPr>
          <w:rtl w:val="0"/>
        </w:rPr>
        <w:t xml:space="preserve">Darryl Pinckney MAY 25, 2017 ISSUE</w:t>
      </w:r>
    </w:p>
    <w:p w:rsidR="00000000" w:rsidDel="00000000" w:rsidP="00000000" w:rsidRDefault="00000000" w:rsidRPr="00000000">
      <w:pPr>
        <w:pBdr/>
        <w:contextualSpacing w:val="0"/>
        <w:rPr/>
      </w:pPr>
      <w:r w:rsidDel="00000000" w:rsidR="00000000" w:rsidRPr="00000000">
        <w:rPr>
          <w:rtl w:val="0"/>
        </w:rPr>
        <w:t xml:space="preserve">The Fire This Time: A New Generation Speaks About Race</w:t>
      </w:r>
    </w:p>
    <w:p w:rsidR="00000000" w:rsidDel="00000000" w:rsidP="00000000" w:rsidRDefault="00000000" w:rsidRPr="00000000">
      <w:pPr>
        <w:pBdr/>
        <w:contextualSpacing w:val="0"/>
        <w:rPr/>
      </w:pPr>
      <w:r w:rsidDel="00000000" w:rsidR="00000000" w:rsidRPr="00000000">
        <w:rPr>
          <w:rtl w:val="0"/>
        </w:rPr>
        <w:t xml:space="preserve">edited by Jesmyn Ward</w:t>
      </w:r>
    </w:p>
    <w:p w:rsidR="00000000" w:rsidDel="00000000" w:rsidP="00000000" w:rsidRDefault="00000000" w:rsidRPr="00000000">
      <w:pPr>
        <w:pBdr/>
        <w:contextualSpacing w:val="0"/>
        <w:rPr/>
      </w:pPr>
      <w:r w:rsidDel="00000000" w:rsidR="00000000" w:rsidRPr="00000000">
        <w:rPr>
          <w:rtl w:val="0"/>
        </w:rPr>
        <w:t xml:space="preserve">Scribner, 226 pp., $25.00</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Emily Raboteau</w:t>
      </w:r>
    </w:p>
    <w:p w:rsidR="00000000" w:rsidDel="00000000" w:rsidP="00000000" w:rsidRDefault="00000000" w:rsidRPr="00000000">
      <w:pPr>
        <w:pBdr/>
        <w:contextualSpacing w:val="0"/>
        <w:rPr/>
      </w:pPr>
      <w:r w:rsidDel="00000000" w:rsidR="00000000" w:rsidRPr="00000000">
        <w:rPr>
          <w:rtl w:val="0"/>
        </w:rPr>
        <w:t xml:space="preserve">‘Know Your Rights!’; mural by Nelson Rivas, aka Cekis, Washington Heights, Upper Manhattan. Commissioned in 2009 by the People’s Justice for Community Control and Police Accountability, it has since been painted over. ‘The mural struck me as an act of love for the people who would pass it by,’ Emily Raboteau writes in her essay in The Fire This Time, and ‘as a kind of answer to the question that had been troubling us—how to inform our children about the harassment they might face.’</w:t>
      </w:r>
    </w:p>
    <w:p w:rsidR="00000000" w:rsidDel="00000000" w:rsidP="00000000" w:rsidRDefault="00000000" w:rsidRPr="00000000">
      <w:pPr>
        <w:pBdr/>
        <w:contextualSpacing w:val="0"/>
        <w:rPr/>
      </w:pPr>
      <w:r w:rsidDel="00000000" w:rsidR="00000000" w:rsidRPr="00000000">
        <w:rPr>
          <w:rtl w:val="0"/>
        </w:rPr>
        <w:t xml:space="preserve">Writing about The Fire Next Time in the first issue of this paper in 1963, F. W. Dupee said that James Baldwin, at his best, illuminated not just a book or an author or an age, but a strain in the culture. However, in The Fire Next Time, with its incendiary title, he thought that Baldwin had given up analysis for exhortation, criticism for prophecy. Dupee regretted Baldwin’s sweeping generalities—that white people do not believe in death, for instance, or that white people are intimidated by black skin. Yet Baldwin impressed him as “the Negro in extremis, a virtuoso of ethnic suffering, defiance, and aspiration,” which at this distance, even as praise, begins to sound a little weird.</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Fire Next Time is composed of two essays, the brief “My Dungeon Shook: Letter to My Nephew on the One Hundredth Anniversary of the Emancipation,” which Dupee judged to be overly polemical, and the much longer “Down at the Cross: Letter from a Region in My Mind,” which he admired for its evocation of Harlem, Baldwin’s description of his flight as an adolescent into the pulpit, and his report on a visit with Elijah Muhammad at the Chicago headquarters of the Nation of Islam. Dupee trusted Baldwin when he had a concrete occasion for his reflections. But Baldwin’s “speculative fireworks” made him uneasy. Black Americans may have been ambivalent about being integrated into a burning house; nevertheless America was the only house they had, Dupee said.</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We can’t get back to Dupee’s language, but maybe we can catch up to Baldwin’s. Remembering his surrender to God on a church floor, he wrote: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All I really remember is the pain, the unspeakable pain; it was as though I were yelling up to Heaven and Heaven would not hear me. And if Heaven would not hear me, if love could not descend from Heaven—to wash me, to make me clean—then utter disaster was my portion. Yes, it does indeed mean something—something unspeakable—to be born, in a white country, an Anglo-Teutonic, antisexual country, black. You very soon, without knowing it, give up all hope of communion. Black people, mainly, look down or look up but do not look at each other, not at you, and white people, mainly, look away. And the universe is simply a sounding drum; there is no way, no way whatever, so it seemed then and has sometimes seemed since, to get through a life, to love your wife and children, or your friends, or your mother and father, or to be loved. The universe, which is not merely the stars and the moon and the planets, flowers, grass, and trees, but other people, has evolved no terms for your existence, has made no room for you, and if love will not swing wide the gates, no other power will or can. And if one despairs—as who has not?—of human love, God’s love alone is left. But God—and I felt this even then, so long ago, on that tremendous floor, unwillingly—is white.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It was not as though existential loneliness and the black condition had been among what the Romantics called the previously unapprehended relations of things. Black writers were describing a living, unfolding history. While W.E.B. Du Bois was deep in his Communist phase, Richard Wright was the most eloquent black writer before Baldwin about political and social matters—more so than Ralph Ellison, though the fiction Wright was writing around the time Ellison produced his masterpiece Invisible Man (1952) was dreadful. Wright was living in Paris when he died in 1960, as the civil rights movement in America was intensifying. Baldwin inherited Wright’s themes and expanded on them, just as Wright had received his and added to them. Singular as they both were, Baldwin’s language could not have been Wright’s.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Toward the end of his life, Wright was seen as belonging to a bygone era, most notoriously by Baldwin himself, and Baldwin would be viewed similarly when he died twenty-seven years later. What is striking about the comparison between the two writers is not the fate of their reputations immediately after their deaths or over time, but that they both had been outspoken on race and both their writing lives happened to have ended during periods of conservative backlash in the US. But social activism is ceaseless in American history.</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Black literature has been the most important repository of the history of opposition and the spirit of resistance in America. Not long after the 2016 election, PEN held a demonstration on the steps of the New York Public Library, at which three young white women read together from Letters to a Young Artist (2006) by the playwright and actor Anna Deavere Smith: “My job in my work is not to acquire power; it’s to question power. What I say I believe is that my job is to see the world upside down, to doubt, to question, to ask. I hope I believe what I say I believe.”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Fire This Time: A New Generation Speaks About Race, edited by the novelist and memoirist Jesmyn Ward, originated in her search for community and consolation after the killing of Trayvon Martin in 2012:</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 needed words. The ephemera of Twitter, the way the voices of the outraged public rose and sank so quickly, flitting from topic to topic, disappointed me. I wanted to hold these words to my chest, take comfort in the fact that others were angry, others were agitating for justice, others could not get Trayvon’s baby face out of their heads…. I couldn’t fully satisfy my need for kinship in this struggle, commiserate with others trying to find a way out of that dark closet. In desperation, I sought James Baldwin….Baldwin was so brutally honest.</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In addition to Ward’s own essay on her light-skinned family in Mississippi and what her discovery through DNA testing of her very mixed ancestry has done to her definitions of blackness, The Fire This Time features poetry by Jericho Brown, Clint Smith, and Natasha Trethewey, and Kima Jones’s remembrance of a grandfather’s wake that is like a tone poem. There are also thirteen essays by historians, journalists, novelists, critics, and other poets, all young, or youngish, and already accomplished.</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In “Da Art of Storytellin’ (a Prequel),” Kiese Laymon, a novelist and a columnist for The Guardian, recalls his grandmother in Mississippi who worked as a “buttonhole slicer,” gutting chickens at a poultry-processing plant. When she came home from work she would say to him, “Let me wash this stank off my hands before I hug your neck.”</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This stank wasn’t that stink. This stank was root and residue of black Southern poverty, and devalued black Southern labor, black Southern excellence, black Southern imagination, and black Southern woman magic. This was the stank from which black Southern life, love, and labor came.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But he didn’t understand “this stank” and the culture of black southern life until years later, through the revelatory power of hip-hop. When at college in Ohio in 1996 he heard the album ATLiens by the group Outkast, it changed his expectations of himself as “a young black Southern artist.” He said he knew he had to write in order “to be a decent human being.”</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Mitchell S. Jackson, also a novelist, describes in “Composite Pops” how he made up his father from the men who came into his life: a witty pimp with whom his mother had two boys; his maternal grandfather, who became his “caretaker” after he ran away from his biological father; his maternal uncle, who trained him in track; his paternal uncle, a drug kingpin, from whom he learned how to hustle; and his biological father, a married man. Now the father of two children himself, Jackson extracts what could be called a tale of nurturing from a background of violence and dysfunction. In a humorous footnote, Jackson reviews the father substitutes of Obama, Washington, Jefferson, and Gerald Ford.</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Several of the essays fuse personal past with cultural history as their authors locate where they belong in the black American story. Wendy S. Walters became interested in an African burial ground that had been discovered in 2003 in Portsmouth, New Hampshire: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Pieces of the skull, portions of the upper and lower limbs, shoulder girdle, ribs, spine, and pelvis of a male person between the ages of twenty-one and thirty years represent Burial 1. An excavator operator noticed his leg bones sticking out from the bottom of his coffin, which was made of white pine and was hexagonal in shape.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She hadn’t explored slave history until she began her quest in the library to learn more about the site and met resistance from custodians of colonial heritage who mistrusted her intentions.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poet Honorée Fanonne Jeffers reconsiders the role of Phillis Wheatley’s husband in her tragic life. Wheatley was an African child acquired by Boston merchants who proved such a scholar that in 1773 she published Poems on Various Subjects, Religious and Moral. Wheatley was freed, but not much is known about her life after the death of her former mistress and protector. Wheatley died in 1784, maybe thirty-three or thirty-four years old. The accepted story had been that she died after having lost three children to sickness in their infancy. Her husband, John Peters, an alleged wastrel, sold the manuscript of her second book of poems, which was then lost.</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However, Jeffers questions the one source of information about Peters, a memoir published in 1834 by a white woman claiming collateral descent from Wheatley’s mistress. Spurred on by other scholars’ work, Jeffers tracked Peters through the census and legal documents. She speculates that he was a free man of education struggling in the volatile post–Revolutionary War economy. There is no certain evidence of how Wheatley died, or how many children she had, or if a child died with her. Jeffers suspects that John Peters, as a black man with aspirations, has been slandered in death.</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Garnette Cadogan’s “Black and Blue” relates that in his hometown, Kingston, Jamaica, he was a walker, but in New Orleans, where he went to college in 1996, he had to learn that he did not have the same freedom to walk in a white-controlled city. A cop put him in handcuffs just for waving at him. After Hurricane Katrina he made his way to New York, in order to “continue to reap the solace of walking at night. And I was eager to follow in the steps of the essayists, poets, and novelists who’d wandered that great city before me—Walt Whitman, Herman Melville, Alfred Kazin, Elizabeth Hardwick.” But one night in the East Village he was running to dinner when a white guy punched him hard. He had assumed that Cadogan was a criminal. Strangely passive, or determined to survive, Cadogan went back to rules he’d set for himself in New Orleans: no running, no sudden movements, no hoodies, no shiny objects in his hand, no waiting on corners. But then he forgot and the next time he was hurrying to an appointment, he ended up handcuffed and humiliated by several policemen.</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Cadogan notes that “walking while black restricts the experience of walking.” He cannot be alone, a flaneur occupied with his own thoughts. Instead of walking in Whitman’s or Melville’s steps,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more often I felt that I was tiptoeing in Baldwin’s—the Baldwin who wrote, way back in 1960, “Rare, indeed, is the Harlem citizen, from the most circumspect church member to the most shiftless adolescent, who does not have a long tale to tell of police incompetence, injustice, or brutality. I myself have witnessed and endured it more than once.”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“‘KNOW YOUR RIGHTS!’ the mural trumpeted in capital letters,” writes Emily Raboteau, a novelist and memoirist, who is also on foot in her essay, walking in Manhattan, Brooklyn, and Queens, and photographing street murals, which are reproduced in the anthology. A text in one mural begins, “Write down the officer’s badge number, name….” Another mural contains the words, “If you are Harassed by police…” Raboteau is looking at the city streets and thinking of when she will have to have the conversation with her children about how to protect themselves from the police.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Jill Krementz</w:t>
      </w:r>
    </w:p>
    <w:p w:rsidR="00000000" w:rsidDel="00000000" w:rsidP="00000000" w:rsidRDefault="00000000" w:rsidRPr="00000000">
      <w:pPr>
        <w:pBdr/>
        <w:contextualSpacing w:val="0"/>
        <w:rPr/>
      </w:pPr>
      <w:r w:rsidDel="00000000" w:rsidR="00000000" w:rsidRPr="00000000">
        <w:rPr>
          <w:rtl w:val="0"/>
        </w:rPr>
        <w:t xml:space="preserve">James Baldwin, New York City, 1973</w:t>
      </w:r>
    </w:p>
    <w:p w:rsidR="00000000" w:rsidDel="00000000" w:rsidP="00000000" w:rsidRDefault="00000000" w:rsidRPr="00000000">
      <w:pPr>
        <w:pBdr/>
        <w:contextualSpacing w:val="0"/>
        <w:rPr/>
      </w:pPr>
      <w:r w:rsidDel="00000000" w:rsidR="00000000" w:rsidRPr="00000000">
        <w:rPr>
          <w:rtl w:val="0"/>
        </w:rPr>
        <w:t xml:space="preserve">Most of the essays in The Fire This Time describe suffering, defiance, and aspiration that culminate in identification with the Black Lives Matter movement. The poet Claudia Rankine remembers a friend whose first thought when she gave birth to her son was not what his name would be, but how she was going to get him out of the country. Rankine was born in 1963, days after the murder of four black girls in a church in Birmingham, Alabama. Just over a half-century later, a white supremacist massacred blacks at prayer in a Charleston, South Carolina, church. “Americans assimilate corpses in their daily comings and goings. Dead blacks are a part of normal life here,” she writes.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In her essay Rankine discusses the reactions of black mothers to the murder of their sons. By requesting an open coffin and allowing photographs of Emmett Till’s disfigured body to be published after he was lynched in 1955, his mother was defying the tradition of whites posing in front of hanged black bodies, Rankine observes with passion. Michael Brown’s mother was kept from his body after he was shot in Ferguson, Missouri, in 2014. Tamir Rice’s mother moved into a homeless shelter rather than live near the scene of her twelve-year-old son’s killing by police in Cleveland the same year. The Black Lives Matter movement is, for Rankine, “an attempt to keep mourning an open dynamic in our culture because black lives exist in a state of precariousness.”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In “Blacker Than Thou,” the poet and Schomburg Center director Kevin Young writes about the bizarre case of Rachel Dolezal, the white woman who passed for black and became head of her NAACP chapter in Spokane, Washington:</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When you are black, you don’t have to look like it, but you do have to look at it. Or look around. Blackness is the face in the mirror, a not-bad-looking one, that for no reason at all some people uglify or hate on or wish ill for, to, about. Sometimes any lusting after it gets to be a drag too.</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But the murders in the Charleston church in 2015 made such a figure ridiculous, he concludes: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This morning I woke from a “deep Negro sleep,” as Senghor put it. I then took a black shower and shaved a black shave; I walked a black walk and sat a black sit; I wrote some black lines; I coughed black and sneezed black and ate black too. This last at least is literal: grapes, blackberries, the ripest plums.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Edwidge Danticat, in her discomforting essay “Message to My Daughters,” ponders whether African-Americans are like refugees in their own country. Born in Haiti, brought up in Brooklyn, where she knew victims of police violence, Danticat contends that black people have always been treated as a population in transit, housed and educated in conditions not much better than those of refugees. After Michael Brown’s murder, Danticat’s friend Abner Louima—we forget that he survived the police assault in 1997, when he was sodomized in a Brooklyn precinct station—told her that the young man’s death proved that “our lives mean nothing.” But Danticat doesn’t want her daughters to grow up terrified, as she did. She wants to be optimistic. Her version of Baldwin’s “My Dungeon Shook,” she promises, will ask her daughters to believe that they have a right to be here.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theme of trespass is taken up by Rachel Kaadzi Ghansah, who was persuaded, as she remembers in “The Weight,” to make a pilgrimage to Baldwin’s home in St. Paul de Vence, France, two decades after his death. Though she couldn’t afford the trip, she had “an unspoken hoodoo-ish belief that he had been the high priest in charge of my prayer of being a black person who wanted to exist on books and words alone.” She’d had her spell of coolness toward Baldwin: he set the stage for every American essayist after him, but one didn’t have to emulate or worship him as “the black authorial exception.” She minded that every essay on race cited him and that he’d escaped to France while her grandfather, who was Baldwin’s age, could only hope for a little dignity in his working life.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Then Ghansah, born in 1981, went to work as the first black intern at a prestigious magazine in New York that had never had a black editor in its 150-year history. Her real world was a privileged one, but she found a need for Baldwin’s words, even there. In St. Paul de Vence, she toured a property without doors or windowpanes, beer cans strewn about, postings from the company that was to tear the house down. It was not his memorial: “He wrote it all down. And this is how his memory is carried…. What Baldwin knew is that he left no heirs, he left spares, and that is why we carry him with us.”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In part because of Baldwin’s example, many of the old questions are mute. Black Lives Matter—founded in 2012 by three women brought together on social media after one of them, Alicia Garza, responded to the murder of Trayvon Martin by writing an open letter to black people—tries to answer the question that confronted many in the Black Arts movement of the 1960s: How can an artist also be an activist? A black writer is by no means obliged to write about black matters. But Wright’s definition of the black artist who challenged power and defended blacks offers more than Ellison’s insistence that being the best novelist he could be was his contribution to the black struggle. Baldwin didn’t want to be Wright’s heir, any more than Rachel Kaadzi Ghansah wanted to be Baldwin’s.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But the young black writers in this anthology reflect in their work how long ago The Fire Next Time was. That world of blacks not looking at one another, ashamed to look at themselves, describes an atmosphere before the black consciousness movement that would spread soon after the publication of Baldwin’s essay. Some fifty years later, invisibility is over; the shame is gone. Nevertheless, Alicia Garza felt that what black people needed from her was a letter asking them to love themselves.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w:t>
      </w:r>
    </w:p>
    <w:p w:rsidR="00000000" w:rsidDel="00000000" w:rsidP="00000000" w:rsidRDefault="00000000" w:rsidRPr="00000000">
      <w:pPr>
        <w:pBdr/>
        <w:contextualSpacing w:val="0"/>
        <w:rPr/>
      </w:pPr>
      <w:r w:rsidDel="00000000" w:rsidR="00000000" w:rsidRPr="00000000">
        <w:rPr>
          <w:rtl w:val="0"/>
        </w:rPr>
        <w:t xml:space="preserve">Calculating Women</w:t>
      </w:r>
    </w:p>
    <w:p w:rsidR="00000000" w:rsidDel="00000000" w:rsidP="00000000" w:rsidRDefault="00000000" w:rsidRPr="00000000">
      <w:pPr>
        <w:pBdr/>
        <w:contextualSpacing w:val="0"/>
        <w:rPr/>
      </w:pPr>
      <w:r w:rsidDel="00000000" w:rsidR="00000000" w:rsidRPr="00000000">
        <w:rPr>
          <w:rtl w:val="0"/>
        </w:rPr>
        <w:t xml:space="preserve">Priyamvada Natarajan MAY 25, 2017 ISSUE</w:t>
      </w:r>
    </w:p>
    <w:p w:rsidR="00000000" w:rsidDel="00000000" w:rsidP="00000000" w:rsidRDefault="00000000" w:rsidRPr="00000000">
      <w:pPr>
        <w:pBdr/>
        <w:contextualSpacing w:val="0"/>
        <w:rPr/>
      </w:pPr>
      <w:r w:rsidDel="00000000" w:rsidR="00000000" w:rsidRPr="00000000">
        <w:rPr>
          <w:rtl w:val="0"/>
        </w:rPr>
        <w:t xml:space="preserve">Hidden Figures: The American Dream and the Untold Story of the Black Women Mathematicians Who Helped Win the Space Race</w:t>
      </w:r>
    </w:p>
    <w:p w:rsidR="00000000" w:rsidDel="00000000" w:rsidP="00000000" w:rsidRDefault="00000000" w:rsidRPr="00000000">
      <w:pPr>
        <w:pBdr/>
        <w:contextualSpacing w:val="0"/>
        <w:rPr/>
      </w:pPr>
      <w:r w:rsidDel="00000000" w:rsidR="00000000" w:rsidRPr="00000000">
        <w:rPr>
          <w:rtl w:val="0"/>
        </w:rPr>
        <w:t xml:space="preserve">by Margot Lee Shetterly</w:t>
      </w:r>
    </w:p>
    <w:p w:rsidR="00000000" w:rsidDel="00000000" w:rsidP="00000000" w:rsidRDefault="00000000" w:rsidRPr="00000000">
      <w:pPr>
        <w:pBdr/>
        <w:contextualSpacing w:val="0"/>
        <w:rPr/>
      </w:pPr>
      <w:r w:rsidDel="00000000" w:rsidR="00000000" w:rsidRPr="00000000">
        <w:rPr>
          <w:rtl w:val="0"/>
        </w:rPr>
        <w:t xml:space="preserve">William Morrow, 346 pp., $27.99</w:t>
      </w:r>
    </w:p>
    <w:p w:rsidR="00000000" w:rsidDel="00000000" w:rsidP="00000000" w:rsidRDefault="00000000" w:rsidRPr="00000000">
      <w:pPr>
        <w:pBdr/>
        <w:contextualSpacing w:val="0"/>
        <w:rPr/>
      </w:pPr>
      <w:r w:rsidDel="00000000" w:rsidR="00000000" w:rsidRPr="00000000">
        <w:rPr>
          <w:rtl w:val="0"/>
        </w:rPr>
        <w:t xml:space="preserve">The Glass Universe: How the Ladies of the Harvard Observatory Took the Measure of the Stars</w:t>
      </w:r>
    </w:p>
    <w:p w:rsidR="00000000" w:rsidDel="00000000" w:rsidP="00000000" w:rsidRDefault="00000000" w:rsidRPr="00000000">
      <w:pPr>
        <w:pBdr/>
        <w:contextualSpacing w:val="0"/>
        <w:rPr/>
      </w:pPr>
      <w:r w:rsidDel="00000000" w:rsidR="00000000" w:rsidRPr="00000000">
        <w:rPr>
          <w:rtl w:val="0"/>
        </w:rPr>
        <w:t xml:space="preserve">by Dava Sobel</w:t>
      </w:r>
    </w:p>
    <w:p w:rsidR="00000000" w:rsidDel="00000000" w:rsidP="00000000" w:rsidRDefault="00000000" w:rsidRPr="00000000">
      <w:pPr>
        <w:pBdr/>
        <w:contextualSpacing w:val="0"/>
        <w:rPr/>
      </w:pPr>
      <w:r w:rsidDel="00000000" w:rsidR="00000000" w:rsidRPr="00000000">
        <w:rPr>
          <w:rtl w:val="0"/>
        </w:rPr>
        <w:t xml:space="preserve">Viking, 324 pp., $30.00</w:t>
      </w:r>
    </w:p>
    <w:p w:rsidR="00000000" w:rsidDel="00000000" w:rsidP="00000000" w:rsidRDefault="00000000" w:rsidRPr="00000000">
      <w:pPr>
        <w:pBdr/>
        <w:contextualSpacing w:val="0"/>
        <w:rPr/>
      </w:pPr>
      <w:r w:rsidDel="00000000" w:rsidR="00000000" w:rsidRPr="00000000">
        <w:rPr>
          <w:rtl w:val="0"/>
        </w:rPr>
        <w:t xml:space="preserve">Rise of the Rocket Girls: The Women Who Propelled Us, from Missiles to the Moon to Mars</w:t>
      </w:r>
    </w:p>
    <w:p w:rsidR="00000000" w:rsidDel="00000000" w:rsidP="00000000" w:rsidRDefault="00000000" w:rsidRPr="00000000">
      <w:pPr>
        <w:pBdr/>
        <w:contextualSpacing w:val="0"/>
        <w:rPr/>
      </w:pPr>
      <w:r w:rsidDel="00000000" w:rsidR="00000000" w:rsidRPr="00000000">
        <w:rPr>
          <w:rtl w:val="0"/>
        </w:rPr>
        <w:t xml:space="preserve">by Nathalia Holt</w:t>
      </w:r>
    </w:p>
    <w:p w:rsidR="00000000" w:rsidDel="00000000" w:rsidP="00000000" w:rsidRDefault="00000000" w:rsidRPr="00000000">
      <w:pPr>
        <w:pBdr/>
        <w:contextualSpacing w:val="0"/>
        <w:rPr/>
      </w:pPr>
      <w:r w:rsidDel="00000000" w:rsidR="00000000" w:rsidRPr="00000000">
        <w:rPr>
          <w:rtl w:val="0"/>
        </w:rPr>
        <w:t xml:space="preserve">Little, Brown, 337 pp., $27.00</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NASA Langley Research Center</w:t>
      </w:r>
    </w:p>
    <w:p w:rsidR="00000000" w:rsidDel="00000000" w:rsidP="00000000" w:rsidRDefault="00000000" w:rsidRPr="00000000">
      <w:pPr>
        <w:pBdr/>
        <w:contextualSpacing w:val="0"/>
        <w:rPr/>
      </w:pPr>
      <w:r w:rsidDel="00000000" w:rsidR="00000000" w:rsidRPr="00000000">
        <w:rPr>
          <w:rtl w:val="0"/>
        </w:rPr>
        <w:t xml:space="preserve">Katherine Johnson, the NASA mathematician who calculated the reentry trajectory for John Glenn’s Mercury Friendship 7 mission as he returned from orbiting the earth, 1962</w:t>
      </w:r>
    </w:p>
    <w:p w:rsidR="00000000" w:rsidDel="00000000" w:rsidP="00000000" w:rsidRDefault="00000000" w:rsidRPr="00000000">
      <w:pPr>
        <w:pBdr/>
        <w:contextualSpacing w:val="0"/>
        <w:rPr/>
      </w:pPr>
      <w:r w:rsidDel="00000000" w:rsidR="00000000" w:rsidRPr="00000000">
        <w:rPr>
          <w:rtl w:val="0"/>
        </w:rPr>
        <w:t xml:space="preserve">After a precisely calculated and perfectly executed voyage, the Mars Orbiter Mission reached its destination on September 24, 2014. The Indian Space Research Organisation, which oversaw the mission, had succeeded in doing what Russia, the United States, China, and Japan had failed to do: send an unmanned probe into orbit around Mars on the first attempt. The project’s success captured headlines worldwide, and a photograph of the cheering women on the administrative staff in the operations control room went viral on the Internet. Subsequently, articles about the female scientists and engineers who were central to the success of the project were widely published.</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Perhaps never before had the participation of women in a space mission been so visible, even though women had been making fundamental computational contributions to astronomy and aeronautics for well over a century. Three recent books—Dava Sobel’s The Glass Universe, Margot Lee Shetterly’s Hidden Figures (which has also been turned into an Oscar-nominated film), and Nathalia Holt’s The Rise of the Rocket Girls—show some of what they accomplished.</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In the late nineteenth century, the term “computer” referred not to a machine but to a person who took measurements, graphed data, and made calculations that helped interpret information and predict results. Although computing was considered mechanical and menial, it was a necessary task that required precision and patience. Before the invention of the modern digital computer, it was crucial to the advance of science and technology. Computers were often women, who could be paid less than men and could work during wartime. Despite the integral part they played in establishing the US as a leader in modern astrophysics and space exploration, their work has remained largely unknown.</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Although advances in science and technology are often portrayed as the work of solitary men—for example, Isaac Newton, Thomas Edison, and Albert Einstein—science has always been a collective enterprise, dependent on many individuals who work behind the scenes. This has become increasingly true as more scientists work on large research projects funded by governments and staffed by hundreds of technicians. Yet despite the collaborative nature of science, for too much of its history the work of women and scientists of color was exploited, deemed rudimentary, and unacknowledged. Taken together, the books by Shetterly, Sobel, and Holt provide important insights into how they contributed to the emergence of Big Science.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Sobel’s book recounts the history of female computers whose work at the Harvard College Observatory in the late nineteenth and early twentieth centuries was crucial to discoveries in modern astrophysics. Edward Pickering, the director of the observatory from 1877 to 1919, sensed, as Sobel writes, that “the stars…were telegraphing important behavioral clues.” It was unclear, however, just what the stars were communicating.</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Much of the work Pickering oversaw at the observatory involved analysis of the chemical composition of stars. Earlier in the nineteenth century, scientists had discovered that every chemical element, when heated to the point of incandescence, emits light of a distinct and identifiable frequency. At the base of their telescopes, Pickering and the other observers affixed a device called a spectroscope, which contains a prism. When light is passed through a prism, it is dispersed into a faint strip of rainbow colors, from red to orange to yellow and on to violet. A person looking through a spectroscope will see not only the rainbow strip but also black lines of varying thickness that reveal the individual elements of which the light is composed.</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Owing to advances in photography, images of the lines created by starlight and passed through a spectroscope could be recorded directly onto glass plates. By measuring the thickness of the lines and their placement along the spectrum of visible light, the Harvard Observatory workers were able to discern the chemical composition of stars. This brought about a revolution in astronomy, which shifted from subjective descriptions and handmade drawings to objective photographic records of the cosmos. In 1882, Pickering began compiling the Henry Draper Catalogue of Stellar Spectra, with the intention of recording the brightness and chemical composition of stars in both the northern and southern hemispheres. The catalog was funded by Anna Palmer Draper in memory of her late husband, himself a renowned scientist who was the first to photograph the spectra of stars.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By 1893, Harvard had produced 30,000 glass plates. Analyzing them was tedious, painstaking work that required an acute analytical mind. Recognizing that they were just as capable as men and would work for lower wages, Pickering hired women who were good at math or devoted stargazers to examine the plates, analyze the spectra of stars and the distance between them, and devise systems to classify this vast stellar landscape.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Sobel follows the lives and work of several of the observatory’s female computers, including Williamina Fleming, who had been Pickering’s maid; Antonia Maury, Henry Draper’s niece and a former student of the Vassar astronomer Maria Mitchell; and Annie Jump Cannon, who had studied physics at Wellesley and astronomy at Radcliffe. Although the women at the observatory were disparagingly known as “Pickering’s harem,” the director persistently supported them and tried to get them wider recognition for their contributions to what was then the cutting edge of astronomy.</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Plate by plate, Fleming and Maury analyzed the brightness of stars, applied formulas to compute their sizes, and measured the dark lines and the spaces between them that appeared in the spectra. Maury and Cannon later revised the scheme that Fleming had created to organize stars into distinct spectral families based on other similarities. Together they classified well over 200,000 stars that were compiled in the Draper Catalogue. Cannon, who was the first female researcher to do nighttime observations, acquired her own data using the observatory’s six-inch telescope. Having examined the spectra of about 220,000 stars, Cannon set the standard for classifying them.</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Pickering instructed his computers to photograph the same patch of sky repeatedly and to note the exact time the glass plates were exposed. He suspected that the brightness of stars varied over time, and he wanted to capture their fluctuations. Indeed, these successive time-lapse images revealed stars whose brightness changed measurably from frame to frame. This discovery was both exciting and puzzling, especially since it was unclear what caused stars to glow in the first place.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It was also uncertain how far away these stars were. In the night sky, stars merely appear as shining dots and shimmering points of light. Measuring the distances between them was a major challenge to astronomy. Stars are born with a wide range of brightnesses, and the image of a star can appear dim either because it is intrinsically faint and nearby or because it is extremely bright but distant. It is impossible to understand a star’s properties without knowing how far away it is.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Henrietta Swan Leavitt, another computer at the observatory, found an unusually large number of variable stars clumped close together in the Small Magellanic Cloud, a nearby galaxy, a bound satellite of our own Milky Way. These stars, called Cepheids, appeared to flicker from maximum to minimum brightness almost daily. Leavitt assumed correctly that all the Cepheids were at the same distance from earth. She discovered a law for computing their intrinsic brightness, derived from how their observable brightness varied and from their distance. Leavitt’s law continues to serve as the method by which cosmic distances are calculated.</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Leavitt’s formulation was foundational to modern astronomy and cosmology, allowing scientists to accurately determine how far stars and galaxies are from earth. Many aspects of our current view of the cosmos, such as Edwin Hubble’s findings, in the 1920s, of the expanding universe, rely on Leavitt’s discovery.</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Harvard Observatory also launched the career of Cecilia Payne- Gaposchkin, the first woman to break into academic astronomy. Her remarkable Ph.D. thesis showed that while all stars are nearly identical in their chemical composition, their temperatures vary, and their spectral classification is related to this variation. Her research formed the basis of the theory of stellar evolution, which explains how nuclear reactions in the centers of stars power them and cause them to evolve, producing changes in their color and composition as they age.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remarkable story Shetterly tells in Hidden Figures, which takes place during World War II, the cold war, the civil rights movement, and the space race, centers on the work of AfricanAmerican female mathematicians at the Langley Memorial Aeronautical Laboratory (now part of NASA). Shetterly’s father had worked at Langley, in Hampton, Virginia, between 1964 and 2004. As a child she knew some of the remarkable women she writes about, but at the time she was not aware of their essential contributions to aerospace science and the American space program. Their work was hidden, partly because it was top secret, and partly because no one bothered to tell their story.</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Hastings Historical Society, New York</w:t>
      </w:r>
    </w:p>
    <w:p w:rsidR="00000000" w:rsidDel="00000000" w:rsidP="00000000" w:rsidRDefault="00000000" w:rsidRPr="00000000">
      <w:pPr>
        <w:pBdr/>
        <w:contextualSpacing w:val="0"/>
        <w:rPr/>
      </w:pPr>
      <w:r w:rsidDel="00000000" w:rsidR="00000000" w:rsidRPr="00000000">
        <w:rPr>
          <w:rtl w:val="0"/>
        </w:rPr>
        <w:t xml:space="preserve">Antonia Maury, an astronomer who made significant contributions to the classification of stars at the Harvard College Observatory, with a six-inch telescope that she installed in Draper Park, Hastings-on-Hudson, New York, 1920s</w:t>
      </w:r>
    </w:p>
    <w:p w:rsidR="00000000" w:rsidDel="00000000" w:rsidP="00000000" w:rsidRDefault="00000000" w:rsidRPr="00000000">
      <w:pPr>
        <w:pBdr/>
        <w:contextualSpacing w:val="0"/>
        <w:rPr/>
      </w:pPr>
      <w:r w:rsidDel="00000000" w:rsidR="00000000" w:rsidRPr="00000000">
        <w:rPr>
          <w:rtl w:val="0"/>
        </w:rPr>
        <w:t xml:space="preserve">White women computers, begrudgingly accepted by male engineers who felt that they weren’t suited to mathematical computation, began working at Langley in 1935, processing data from tests of airflows, friction, and drag around the wings of aircraft in wind tunnels against predictions from models developed by engineers. The pace of this work accelerated rapidly during World War II, with Henry Reid, the head engineer of the National Advisory Committee for Aeronautics (NACA), declaring that the US could attain “victory through airpower.” Every manufacturer that was producing high-performance aircraft for the war sent a working prototype to Langley for rigorous testing.</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During the war, Langley ran tests for three shifts a day, six days a week, and a large staff was required to help the engineers graph and analyze results. By the early 1940s, the supply of human computers could no longer keep pace with the urgent need for fast and accurate calculations to process data.</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In response to pressure from civil rights activists, including A. Philip Randolph and Bayard Rustin, President Franklin D. Roosevelt issued two executive orders in 1941 to desegregate the military and defense industry as the nation prepared for war. At Langley, the orders helped personnel officer Melvin Butler expand recruiting efforts to include African-American math teachers educated at historically black colleges and universities. Yet these efforts remained constrained by Jim Crow prejudice, and the corps of new computers remained segregated from their white women colleagues.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These talented number-crunchers, who had been given a crash course in engineering physics and the theory of airflows, processed the data produced by the around-the-clock flight simulations. Using slide rules and calculating machines, they modeled results using equations that the engineers supplied. By the war’s end, they had become a vital part of the burgeoning high-technology aircraft industry that would help the US win the space race. Their work helped break the sound barrier, which was once thought impossible, and their calculation of the trajectories of satellites eventually helped propel Americans into space.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Shetterly follows the extraordinary careers of Dorothy Vaughan, Mary Jackson, Katherine Johnson, and Christine Darden. Starting as a computer, Jackson went on to conduct wind tunnel experiments alongside the engineers. Encouraged by her boss, Kaz Czarnecki, she fought for permission to take classes at Hampton High School that were otherwise accessible only to her white counterparts. Having finished her training successfully, Jackson became the first female African- American engineer to work for NACA.</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Although Vaughan ran the segregated unit of female African-American mathematicians known as the West Area Computing Pool, she was only given the official title of supervisor after eight years on the job. Brilliant, strategic, and resourceful, Vaughan realized that the computers’ jobs might be threatened by the arrival of the first digital computer at NACA in 1947, and she was one of the first of them to teach herself programming. Vaughan, Jackson, Johnson, and Darden worked hard, supported one another, and forged alliances with open-minded colleagues and superiors. They managed, in Shetterly’s words, to exile “the demons [of discrimination] to a place where they could do no harm.”</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early space missions carried out by NASA, which was founded in 1958, were extremely risky; one major obstacle was that the shape required for spacecraft to attain escape velocity after liftoff made them likely to overheat when they reentered earth’s atmosphere. The success and safety of these missions depended on extremely accurate calculations of a reentry trajectory that would avoid this danger. When the Mercury Friendship 7 mission, piloted by John Glenn in 1962 was returning to earth, its automatic control system failed, forcing him to manually navigate the capsule to touchdown.</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It has been little known that Katherine Johnson calculated and graphed Glenn’s reentry trajectory in real time. With her superb grasp of analytic geometry, she accounted for all possible complications and traced the exact path that Glenn needed to follow in order to splash down safely in the Atlantic. It was only after this incredible success that Johnson was allowed to be a coauthor on the reports of her trajectory calculations and her computation of launch windows (the period during which a rocket must be launched in order to reach a specific destination, such as a space station). By the time Darden joined Langley, now part of NASA, in 1962 as a data analyst, she had already been a mathematics professor at Virginia State. Today she is recognized as one of NASA’s preeminent experts on supersonic flight and sonic booms, and she became the first African-American at Langley to be promoted to its senior executive ranks.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Rise of the Rocket Girls by Nathalia Holt examines the professional lives of another group of human computers, the mostly white women who worked at the Jet Propulsion Laboratory (JPL) in Pasadena during World War II. They calculated the mathematical elements of rocket design and launch systems for the first American ballistic missiles. While race was not an obstacle for these women, their skills were recognized only because of the acute labor shortage and their willingness to work for lower wages. In 1958, the JPL came under NASA’s control, and its women computers turned to space exploration, making calculations for the first space probes to the moon and other planets. These women learned to operate the new technology of digital computers, and, unlike most of the members of the West Area Computing Pool at NACA, many were retained as computer programmers and engineers at the JPL.</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Accounts of the histories of scientific discovery often center on the epiphanies of brilliant individuals, such as August Kekulé, who saw the structure of benzene in a dream, or James Watson and Francis Crick, who discovered the structure of DNA. The work of these individuals was not isolated and was often built on the labor of many others. For instance, though Watson and Crick could not have solved the structure of DNA had they not seen Rosalind Franklin’s X-ray image of it—the famous “Photo 51”—she did not share their 1962 Nobel Prize for Medicine for this discovery.</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Women scholars and feminists such as Evelyn Fox Keller, Sandra Harding, Anne Fausto-Sterling, Ruth Hubbard, Emily Martin, and Londa Schiebinger have criticized such scientific histories and called attention to the important, overlooked work female scientists have done. Their criticisms have also raised more fundamental challenges to our assumptions about how scientific progress works. They suggest that science is advanced less by individuals working in isolation than by many enablers whose contributions often go unrecognized.</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Making science more inclusive and equitable requires a sharper understanding of the ways its practice is shaped by assumptions about the capabilities of men and women. We might usefully ask, for instance, whether human computers happened to be women because computing was seen at the time as a skill that didn’t require originality, or because women had lower social status and were willing to be paid lower wages to perform the work. While the books reviewed here emphasize work done by women and scientists of color, they do not directly ask deeper questions about how science is done, who does it, and who reports its achievements.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Thomas Kuhn’s influential book The Structure of Scientific Revolutions (1962) challenged the view of scientific discovery in which progress is generated and accelerated by a particular great scientist. Instead Kuhn argued that new discoveries depend on the shared theoretical beliefs, values, instruments, and techniques of the larger scientific community—what he termed the entire “disciplinary matrix” or “paradigm.”</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Kuhn mentions only in passing that social and political circumstances also inform the outcome of scientific debates, but later historians took up his suggestion to reconsider how scientific progress occurs. Feminist scholars like Evelyn Fox Keller identified attitudes toward gender and race as part of these shared values and beliefs in her book Reflections on Gender and Science (1985). She argued that we need to question the way in which histories of science recount who does what, what counts as intellectual activity, and who gets credit for discoveries. “Just as science is not the purely cognitive endeavor we once thought it,” she writes, “neither is it as impersonal as we thought: science is a deeply personal as well as a social activity.”</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Although the books by Sobel, Shetterly, and Holt are not polemical, they have an argument: science is not about singular discovery and invention. It is not an activity reserved for male geniuses working on their own. Discovery in almost every scientific field occurs through the collaboration of a large number of experts. This has been the case in genetics (the Human Genome Project), high-energy physics (the discovery of the Higgs boson at the Large Hadron Collider), and space science (the many NASA missions to distant planets).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These books unfold the complex ways in which scientific work in astronomy and space science has been shaped by inclusion and exclusion, power and privilege. They also suggest how the development of those fields between the second half of the nineteenth century and World War II provided new circumstances in which women could participate in research and analysis. Such stories may not seem radical, but that may be their hidden power. These treatments of the past encourage us to create a future in which more and different people—regardless of gender, race, class, or sexual identity—can imagine themselves as participants in new discoveries.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