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March 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Freud: What’s Left?</w:t>
      </w:r>
    </w:p>
    <w:p w:rsidR="00000000" w:rsidDel="00000000" w:rsidP="00000000" w:rsidRDefault="00000000" w:rsidRPr="00000000">
      <w:pPr>
        <w:contextualSpacing w:val="0"/>
        <w:rPr/>
      </w:pPr>
      <w:r w:rsidDel="00000000" w:rsidR="00000000" w:rsidRPr="00000000">
        <w:rPr>
          <w:rtl w:val="0"/>
        </w:rPr>
        <w:t xml:space="preserve">Frederick C. Crews FEBRUARY 23, 2017 ISSUE</w:t>
      </w:r>
    </w:p>
    <w:p w:rsidR="00000000" w:rsidDel="00000000" w:rsidP="00000000" w:rsidRDefault="00000000" w:rsidRPr="00000000">
      <w:pPr>
        <w:contextualSpacing w:val="0"/>
        <w:rPr/>
      </w:pPr>
      <w:r w:rsidDel="00000000" w:rsidR="00000000" w:rsidRPr="00000000">
        <w:rPr>
          <w:rtl w:val="0"/>
        </w:rPr>
        <w:t xml:space="preserve">Freud: In His Time and Ours</w:t>
      </w:r>
    </w:p>
    <w:p w:rsidR="00000000" w:rsidDel="00000000" w:rsidP="00000000" w:rsidRDefault="00000000" w:rsidRPr="00000000">
      <w:pPr>
        <w:contextualSpacing w:val="0"/>
        <w:rPr/>
      </w:pPr>
      <w:r w:rsidDel="00000000" w:rsidR="00000000" w:rsidRPr="00000000">
        <w:rPr>
          <w:rtl w:val="0"/>
        </w:rPr>
        <w:t xml:space="preserve">by Élisabeth Roudinesco, translated from the French by Catherine Porter</w:t>
      </w:r>
    </w:p>
    <w:p w:rsidR="00000000" w:rsidDel="00000000" w:rsidP="00000000" w:rsidRDefault="00000000" w:rsidRPr="00000000">
      <w:pPr>
        <w:contextualSpacing w:val="0"/>
        <w:rPr/>
      </w:pPr>
      <w:r w:rsidDel="00000000" w:rsidR="00000000" w:rsidRPr="00000000">
        <w:rPr>
          <w:rtl w:val="0"/>
        </w:rPr>
        <w:t xml:space="preserve">Harvard University Press, 580 pp., $35.00</w:t>
      </w:r>
    </w:p>
    <w:p w:rsidR="00000000" w:rsidDel="00000000" w:rsidP="00000000" w:rsidRDefault="00000000" w:rsidRPr="00000000">
      <w:pPr>
        <w:contextualSpacing w:val="0"/>
        <w:rPr/>
      </w:pPr>
      <w:r w:rsidDel="00000000" w:rsidR="00000000" w:rsidRPr="00000000">
        <w:rPr>
          <w:rtl w:val="0"/>
        </w:rPr>
        <w:t xml:space="preserve">Sigmund Freud, Vienna, 1911</w:t>
      </w:r>
    </w:p>
    <w:p w:rsidR="00000000" w:rsidDel="00000000" w:rsidP="00000000" w:rsidRDefault="00000000" w:rsidRPr="00000000">
      <w:pPr>
        <w:contextualSpacing w:val="0"/>
        <w:rPr/>
      </w:pPr>
      <w:r w:rsidDel="00000000" w:rsidR="00000000" w:rsidRPr="00000000">
        <w:rPr>
          <w:rtl w:val="0"/>
        </w:rPr>
        <w:t xml:space="preserve">Mondadori Portfolio/Everett Collection</w:t>
      </w:r>
    </w:p>
    <w:p w:rsidR="00000000" w:rsidDel="00000000" w:rsidP="00000000" w:rsidRDefault="00000000" w:rsidRPr="00000000">
      <w:pPr>
        <w:contextualSpacing w:val="0"/>
        <w:rPr/>
      </w:pPr>
      <w:r w:rsidDel="00000000" w:rsidR="00000000" w:rsidRPr="00000000">
        <w:rPr>
          <w:rtl w:val="0"/>
        </w:rPr>
        <w:t xml:space="preserve">Sigmund Freud, Vienna, 1911</w:t>
      </w:r>
    </w:p>
    <w:p w:rsidR="00000000" w:rsidDel="00000000" w:rsidP="00000000" w:rsidRDefault="00000000" w:rsidRPr="00000000">
      <w:pPr>
        <w:contextualSpacing w:val="0"/>
        <w:rPr/>
      </w:pPr>
      <w:r w:rsidDel="00000000" w:rsidR="00000000" w:rsidRPr="00000000">
        <w:rPr>
          <w:rtl w:val="0"/>
        </w:rPr>
        <w:t xml:space="preserve">When the surviving directorate of Freudian psychoanalysis reassembled after the disruption and dispersal of World War II, its members faced a situation of combined opportunity and risk. Their movement’s center of gravity had long been shifting westward from Vienna and Berlin toward London and New York, reaching more potential clients and supporters but also fostering schisms that threatened to discredit the whole institution. What was needed, it was agreed, was a means of generating solidarity behind the figure of Freud, the departed leader whose discovery of the unconscious, with the Oedipus complex at its core, could be celebrated by all parties.1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urgency of that task of establishing solidarity was brought home to Anna Freud by the publication, in 1947, of Helen Walker Puner’s astute independent biography, Freud: His Life and His Mind, which dared to ascribe the founder’s precepts to his idiosyncrasies rather than to the objective nature of the psyche. Anna’s response was to commission a biography of her own, Ernest Jones’s three-volume opus of 1953–1957, that would profit both from Jones’s long intimacy with Freud and from documents that Anna would share with him but largely withhold from the public. Jones was chosen over a better-informed candidate, Siegfried Bernfeld, because he could be trusted to do Anna’s bidding—specifically, to establish a narrative of discovery that would make her father’s great breakthrough vividly persuasive, whether or not it happened to be true.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trouble was, however, that by 1953 there were two competing creation myths. According to the one that Freud himself had propagated, all of his female patients had told him that they had been molested in childhood by their fathers; but Freud had stumbled across the Oedipus complex when he realized that those “memories” were only fantasies serving to disguise the girls’ own incest wishes. Freud’s published papers from 1896, however, along with his recently recovered letters to his best friend of the 1890s, Wilhelm Fliess, exploded that tale; it was Freud himself who had tried, unsuccessfully, to convince his patients that they had been abused. Moreover, the Fliess letters showed that Freud had initially thought of the Oedipus theme in connection with his own “hysteria”; and he had abandoned his “seduction theory” emphasizing childhood abuse many years before deciding that every psychoneurosis is rooted in repression of the Oedipus complex.</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Which of the two imperfect stories was Jones going to tell, the one about Freud’s ceasing to believe his female patients or the one about his flash of introspection, assimilating all humankind to his own nervous case? If Jones had been writing for the sake of historical truth alone, he would have had to choose—or better yet, to expose the dubious features of both hypotheses. The point, however, was to encourage faith in psychoanalysis; and so, as in the gospels, Jones put forward both of the clashing versions, keeping silent about their incompatibility and allowing believers to embrace whichever tale they preferred. Thus Jones’s Freud was a paradox: at once a plodding inductivist, sifting clinical evidence and gradually awakening to its significance, and a transcendent genius who had seen the truth by looking inward.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Thanks in large measure to Jones’s florid biography, to the closely coordinated Standard Edition of Freud’s works edited by James Strachey, and to a tendentious, bowdlerized selection of the Fliess letters edited by Marie Bonaparte, Anna Freud, and Ernst Kris, the 1950s proved to be the heyday of Freudianism in the Anglophone world. In the 1970s, though, things fell apart in a hurry. The story of Freud’s solitary breakthrough was exposed as a legend by Henri F. Ellenberger, Paul Roazen, Frank Cioffi, and Frank J. Sulloway among others. Since then, psychoanalytically inclined authors have had to cope with, or carefully tiptoe around, the mounting evidence that Freud owed far more to his contemporary rivals than he had wanted us to know and that the original parts of his theory were also the most arbitrary.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1988, for example, in a hagiography-with-warts that was subtitled A Life for Our Time, Peter Gay acknowledged the threats to Freud’s grandeur posed both by recently released documents—most notably the full, and very disillusioning, Fliess letters published in 1985—and by skeptical studies, whose importance Gay nevertheless strove to minimize. Largely reproducing Jones’s self-canceling portrait of Freud, Gay employed his concluding “Bibliographic Essay” to belittle the growing cadre of scholars who had dared to question the master’s independence, his veracity, and even his competence. Now Freud biography by Freudians was getting to be more a matter of plugging leaks than of celebrating world-historical achievements.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Sigmund Freud with his daughter Anna, Vienna, circa 1937; photograph by Princess Eugénie</w:t>
      </w:r>
    </w:p>
    <w:p w:rsidR="00000000" w:rsidDel="00000000" w:rsidP="00000000" w:rsidRDefault="00000000" w:rsidRPr="00000000">
      <w:pPr>
        <w:contextualSpacing w:val="0"/>
        <w:rPr/>
      </w:pPr>
      <w:r w:rsidDel="00000000" w:rsidR="00000000" w:rsidRPr="00000000">
        <w:rPr>
          <w:rtl w:val="0"/>
        </w:rPr>
        <w:t xml:space="preserve">Bourgeron Collection/RDA/Hulton Archive/Getty Images</w:t>
      </w:r>
    </w:p>
    <w:p w:rsidR="00000000" w:rsidDel="00000000" w:rsidP="00000000" w:rsidRDefault="00000000" w:rsidRPr="00000000">
      <w:pPr>
        <w:contextualSpacing w:val="0"/>
        <w:rPr/>
      </w:pPr>
      <w:r w:rsidDel="00000000" w:rsidR="00000000" w:rsidRPr="00000000">
        <w:rPr>
          <w:rtl w:val="0"/>
        </w:rPr>
        <w:t xml:space="preserve">Sigmund Freud with his daughter Anna, Vienna, circa 1937; photograph by Princess Eugénie</w:t>
      </w:r>
    </w:p>
    <w:p w:rsidR="00000000" w:rsidDel="00000000" w:rsidP="00000000" w:rsidRDefault="00000000" w:rsidRPr="00000000">
      <w:pPr>
        <w:contextualSpacing w:val="0"/>
        <w:rPr/>
      </w:pPr>
      <w:r w:rsidDel="00000000" w:rsidR="00000000" w:rsidRPr="00000000">
        <w:rPr>
          <w:rtl w:val="0"/>
        </w:rPr>
        <w:t xml:space="preserve">The latest entry in this genre is Élisabeth Roudinesco’s Freud: In His Time and Ours, which won two prestigious awards when it was first published in France in 2014. Roudinesco’s title echoes Gay’s. She, too, feels that “our time,” a generation later, calls for a warier approach to the founder of psychoanalysis. And as we will see, she finds it necessary to concede a good deal more than Gay did to the now widely shared opinion that Freud’s discoveries had never occurred at all. Yet given Roudinesco’s background and history, it is hard to think of another author who would have been less likely to relinquish any portion of her faith in Freud.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some forty years now, Roudinesco has been an eminence in the intellectual culture of France. Prolific historian, academic, psychoanalyst, and controversialist, she is best known as a staunch champion and the definitive biographer of Jacques Lacan, whose idiosyncratic “return to Freud” initiated a national love affair with psychoanalysis in the 1960s. Whether one regards Lacan, who died in 1981, as “a thinker of genius” and as “the greatest theorist of Freudianism of the second half of the twentieth century” (Roudinesco’s judgment) or rather as the most pompous of obscurantists, his impact was enormous; and Roudinesco chronicled it in abundant detail.2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Roudinesco’s 1993 biography of Lacan tested the limits of her loyalty to psychoanalysis. The book was unsparingly frank about its subject’s personal failings: greed, authoritarianism, a posturing vanity, sexual predation, and capricious cruelty. Nevertheless, Roudinesco insisted on his greatness, which was treated as an unexaminable fact. Lacan had endeared himself to Roudinesco by “decentering the Freudian subject” and recasting the biologically reductive Oedipus complex as a linguistic phenomenon. Although he had also represented the erect phallus as the square root of minus one, that was unobjectionable, too.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Lacan’s ideas lacked even a pretense of basis in research, but Roudinesco never thought to question them. As she has written elsewhere, she is a “daughter of psychoanalysis.”3 Her mother, Jenny Aubry, had been a close friend of Lacan’s and a founding member of his schismatic École Freudienne de Paris. “I had been immersed in the culture of this movement since my childhood,” Roudinesco disclosed. And she has continued to believe that psychoanalysis, both Freudian and Lacanian, is indispensable because, in a dehumanizing age, it posits a psychical self-division that mirrors the tragic complexity of existence.4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most memorable display of Roudinesco’s Freudian affinity per se occurred in 1995, after the US Library of Congress announced a forthcoming exhibition, “Sigmund Freud: Conflict and Culture,” based on the holdings of its Freud collection. The show and its ancillary events and publications were to expound Freud’s achievements while also reflecting the recent “close critical reexamination” of his theory.5 As it turned out, however, only old-line Freudian loyalists were selected as advisers and catalog contributors. Troubled by such provincialism, several dozen scholars and others, including some psychoanalysts, courteously petitioned the library to add one independent member to the steering committee. Instead, to general amazement, the library announced that, owing to a shortfall of funds, the exhibition would be indefinitely postponed. That was all the impetus Roudinesco needed to take decisive action.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With the aid of a colleague, and garnering 180 signatures in all, Roudinesco addressed a petition of her own to the library’s director. Books committing “unheard-of violence” against Freud, she asserted, had been written by the organizers of the first petition, who had charged him with having sexually abused children, his sister-in-law, and other women. Now “the inquisitors” had been caught plotting to keep the exhibition from ever opening. Roudinesco’s document urged the library’s director not to yield to the “extortion of fear” and the “witch hunt” of such “politically correct” zealots. Yet it was clear to anyone who saw the first plea that its signers had meant only to improve the exhibition, not to torpedo it. (The show did take place, with the cooperation of the dissenting scholars, in 1998.)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language of Roudinesco’s coauthored petition, though vitriolic, was mild in comparison with what she wrote on her own for French publications. The enemies of the Freud exhibition, she observed, reminded her of “ayatollahs” and Nazis hunting down “Jewish Freudians.”6 Meanwhile, she lobbied tirelessly with influential academics, urging them to denounce those she saw as the McCarthyist enemies of free speech. Patently, however, the Joe McCarthy of the Library of Congress episode was Roudinesco herself.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Now, with Freud: In His Time and Ours, Roudinesco takes her turn at characterizing the whole career of the first psychoanalyst. She does so at length and in broad historical scope. And it would appear at first glance that her mood has considerably mellowed. Reviewers, certainly, have taken her at her word: she is simply offering an unprejudiced account of Freud’s life, hiding nothing.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Roudinesco begins with Freud’s ethnic, class, and religious background and moves through his childhood in Moravia and Vienna, his schooling and university education, his reluctant choice of a medical career, his visit, on a fellowship, to Jean-Martin Charcot in Paris, his courtship, marriage, and family life, his livelihood as a private practitioner, his invention of psychoanalysis, and, most extensively, his role as the leader of a movement whose centrifugal development frustratingly eluded his control. At no point does the author pause to indulge in special pleading for Freudian concepts and tenets.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the contrary, at the outset of her study Roudinesco ventures a boldly negative observation. “What Freud thought he was discovering,” she declares,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was at bottom nothing but the product of a society, a familial environment, and a political situation whose signification he interpreted masterfully so as to ascribe it to the work of the unconscious.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Although she never actually makes a case for that proposition, it liberates her at one stroke from having to defend ideas that appear to have fallen permanently out of favor.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Freud’s theory, Roudinesco now holds, is best understood not as an accurate picture of the mind but as a serving of warmed-over Romanticism, spiced with a misleading dash of materialist determinism. Having thus given up on Freudian science, she can serenely acknowledge Freud’s habit of forever “contradicting and combating himself.” She sees no reason, furthermore, to emulate Jones and Gay in quarantining his occultist inclination from the rest of his thought. For Freud, Roudinesco asserts, “it was a matter of proclaiming, against the overly rational primacy of science, a magical knowledge that escaped the constraints of the established order.” Thus, when Freud commends his clinical regimen as a form of telepathy and when he jumbles the distinction between psychological and organic domains, asserting that germ cells are “narcissistic” and carry a “death drive,” Roudinesco is unfazed. She expected just such mysticism from an intellectual heir of Franz Anton Mesmer.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Unlike Jones and Gay, Roudinesco acknowledges that the Oedipus template was imposed on Freud’s patients rather than deduced from their cases; and, further, that its adoption caused him to become more glib, “tossing about willy-nilly the sacrosanct Oedipus complex” and applying it “to the most banal conflictual situations.” She grants, moreover, that when he ventured into anthropology (Totem and Taboo), religion (The Future of an Illusion), sociology (Group Psychology and the Analysis of the Ego), biography (Leonardo da Vinci and a Memory of His Childhood), and history (Civilization and Its Discontents), he brushed aside inconvenient facts while appropriating each discipline to his overriding theme.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Roudinesco’s narrative, Freud comes off looking unobservant and self-absorbed rather than psychologically keen. She reminds us, for instance, that he discounted the many signs that C.G. Jung was never going to be his compliant heir. Again, in 1919 he was easily deceived by a fellow psychoanalyst’s forgery of a girl’s diary, allowing himself to be “hoodwinked by a fraud that sprang directly from his doctrine.” Most remarkably, having taken his own daughter Anna into analysis with the reckless goal of “awakening her libido,” he still failed to grasp that her sexual preference was for women.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Likewise, Roudinesco indicates that Freud was slow to recognize the Nazi menace to Jews in general and psychoanalysis in particular. She tells how the ailing patriarch, obsessed with his privately chosen enemy, the Roman Catholic Church, blinded himself to the greater threat and then, when it materialized, failed to take a principled stand against it—even acquiescing in the purging of Jews from the German branch of his movement, which was surviving in name only. Although Roudinesco doesn’t say so, that episode chillingly dramatizes the extent to which Freud subordinated all values to the cause of forwarding his brainchild without regard to its social or medical utility.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 less surprising than Roudinesco’s deflationary account of Freud’s doings, however, is her continuing reverence for him. Freud, she announces, “imposed on modern subjectivity a staggering mythology of origins whose power seems more alive than ever….” And at the end of her book she voices a hope that “for a long time yet, [Freud] will remain the great thinker of his time and ours.” This is very strange. A great thinker is surely one whose insights are far more cogent than those of his strongest competitors; but Freud as Roudinesco presents him was merely a man with an obsession. True, he lent that obsession literary resonance and convinced millions that he belonged in the company of Copernicus and Darwin. But the achievement was won—as Roudinesco will not admit—by boasting, cajoling, question begging, denigrating rivals, and misrepresenting therapeutic results.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Unable to argue that Freud’s theory was correct but feeling as bonded to him as ever, Roudinesco finds herself in a dicier predicament than with Lacan in 1993. Back then, she hoped that the French intellectual elite’s faith in the Lacanian system would be strong enough to survive her revelations about his deplorable character. Now, however, she appears to have calculated that the only way to appease the critics of psychoanalytic theory is to agree with them. She does so, nominally, but without conviction, for at numerous junctures she draws on Freud’s assumptions as if they hadn’t been disallowed at 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not in Roudinesco’s nature to admit that she has been obliged to change her mind about anything. She favors the attack mode; and as we saw in the Library of Congress dispute, she prefers to denounce adversaries for outrageous claims that they didn’t make. Now, in Freud: In His Time and Ours, she covers her confusion by reverting to that same practice.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various comments, some of them tucked away in notes, we gather that Roudinesco is on a mission to protect her idol from vicious “Freud bashers” and practitioners of “revisionist madness” who have “made Freud out to be a swindler, a rapist, and incestuous.” Some of them, she declares, even charge him with having “assassinated” a dear friend so as to eliminate him as a rival. Roudinesco holds that such crazies, rather than Freud’s own deeds and limitations, have subjected him to public disdain.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never learn, either from this book or from any of Roudinesco’s others, which villains have spread the lie that Freud was an incestuous rapist and murderer. She does, however, single out the philosopher of science Adolf Grünbaum and the independent historian Peter J. Swales as having busied themselves “tearing apart Freud’s doctrine and Freud himself, the master having become once again a diabolical scientist guilty of engaging in sexual relations within his own family.” But Grünbaum has never concerned himself with Freud biography, and his objections to Freud’s claims are drily technical. As for the maverick Swales, knowledgeable scholars on both sides of the Freud quarrel respect his meticulously researched investigations, which are too seldom read to have affected Freud’s image with the broad public.7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 say that Grünbaum and Swales have read Freud with more care than Roudinesco would be an understatement. Consider, for example, her treatment of Freud’s first book, Studies on Hysteria, cowritten with Josef Breuer. Roudinesco mixes up Freud’s patients, mistaking the English governess “Miss Lucy R.” for the Hungarian heiress “Elisabeth von R.” She contrasts Freud and Breuer’s “cathartic method” with hypnotism, evidently unaware that hypnotism was the engine of that method. And she confounds “hysteria” with “neurosis” and then bizarrely equates it with “insanity.” Such slippage forecloses any possibility of establishing what Breuer and Freud thought they were accomplishing and why they soon became antagonists.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finally, the question of whether Roudinesco’s Freud, although much reduced from the godlike personage touted by her predecessors, is the man himself or a version she has constructed with ongoing protective intent. The ultimate goal of Freud: In His Time and Ours, I would say, is to spare its protagonist from dismissal as a man who, in his ex-friend Fliess’s annihilating words, “merely reads his own thoughts into other people.”8 Those thoughts were overwhelmingly sexual, and they were inflamed by a drug, cocaine, that Freud had begun ingesting in 1884 and was once again using in his years of psychoanalytic “discovery.” In order to forestall this unwelcome line of inquiry, both Jones and Gay, following Freud’s own lead in his canny reminiscences, strained to depict him as a neutral investigator who, living a life of impeccable bourgeois virtue, had been ambushed by his patients’ emphasis on the repulsive topic of sex. And now Roudinesco follows suit.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Ignoring clear evidence that Freud’s early patients rejected and even mocked his sexual explanations of their troubles, Roudinesco maintains that they “asserted” and “often recounted” erotic revelations to an abashed, “puritanical” Freud—one who was so high-minded that he decided to abstain from sexual intercourse just on principle. Overlooking his prescription of 1908—“the cure for nervous illness arising from marriage would be marital unfaithfulness”9—Roudinesco endows him with a lifelong “horror of adultery.” According to her, moreover, he always regarded his wife Martha with “a sort of adoration.” Thus it is unthinkable that he could ever have lusted after her sister Minna, much less have seduced her (as his close associates believed, and as Minna herself evidently confessed to Jung). As for cocaine, Roudinesco assures us that Freud “definitively” forswore it in 1892—a contention that is amply belied by his surviving letters to Fliess and even by The Interpretation of Dreams.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room for debate about the nature of Freud’s private life, which, as even Jones admitted, was assiduously hidden from view.10 Roudinesco’s straw-man polemics, however, admonish us not to go there, for Freud’s respectability must be preserved at all cost. Yet if this man really discovered nothing and nevertheless persuaded the world to regard him as a titan of science, he was one of the most audacious figures in the history of thought. That is profoundly interesting; Roudinesco’s bourgeois gentleman is not.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In Freud’s construal, every child, on pain of incurring a later psychoneurosis, must manage to overcome an “oedipal” desire to murder its same-sex parent in order to clear the way for copulation with the other one. Fear of horrible retribution presumably relegates the Oedipus complex to the unconscious, where Freud allegedly found it lurking.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Élisabeth Roudinesco, Jacques Lacan, translated by Barbara Bray (Columbia University Press, 1997), p. 397; Why Psychoanalysis?, translated by Rachel Bowlby (Columbia University Press, 2001), p. 118.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Jacques Derrida and Élisabeth Roudinesco, For What Tomorrow…, translated by Jeff Fort (Stanford University Press, 2004), p. 175.  ↩</w:t>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Chapter 3, “The Soul Is Not a Thing,” of Roudinesco’s Why Psychoanalysis? ↩</w:t>
      </w:r>
    </w:p>
    <w:p w:rsidR="00000000" w:rsidDel="00000000" w:rsidP="00000000" w:rsidRDefault="00000000" w:rsidRPr="00000000">
      <w:pPr>
        <w:contextualSpacing w:val="0"/>
        <w:rPr/>
      </w:pPr>
      <w:r w:rsidDel="00000000" w:rsidR="00000000" w:rsidRPr="00000000">
        <w:rPr>
          <w:rtl w:val="0"/>
        </w:rPr>
        <w:t xml:space="preserve">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“Freud Exhibition to Open at LC,” Library of Congress Information Bulletin, June 13, 1994.  ↩</w:t>
      </w:r>
    </w:p>
    <w:p w:rsidR="00000000" w:rsidDel="00000000" w:rsidP="00000000" w:rsidRDefault="00000000" w:rsidRPr="00000000">
      <w:pPr>
        <w:contextualSpacing w:val="0"/>
        <w:rPr/>
      </w:pPr>
      <w:r w:rsidDel="00000000" w:rsidR="00000000" w:rsidRPr="00000000">
        <w:rPr>
          <w:rtl w:val="0"/>
        </w:rPr>
        <w:t xml:space="preserve">6</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Roudinesco, “Le revisionisme antifreudien gagne les États-Unis,” Libération, January 26, 1996.  ↩</w:t>
      </w:r>
    </w:p>
    <w:p w:rsidR="00000000" w:rsidDel="00000000" w:rsidP="00000000" w:rsidRDefault="00000000" w:rsidRPr="00000000">
      <w:pPr>
        <w:contextualSpacing w:val="0"/>
        <w:rPr/>
      </w:pPr>
      <w:r w:rsidDel="00000000" w:rsidR="00000000" w:rsidRPr="00000000">
        <w:rPr>
          <w:rtl w:val="0"/>
        </w:rPr>
        <w:t xml:space="preserve">7</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Roudinesco herself has learned from Swales. Although he has vanished from the index of her English-language text (he was there in the French), she adopts insights from several of his articles, acknowledging some borrowings but not others.  ↩</w:t>
      </w:r>
    </w:p>
    <w:p w:rsidR="00000000" w:rsidDel="00000000" w:rsidP="00000000" w:rsidRDefault="00000000" w:rsidRPr="00000000">
      <w:pPr>
        <w:contextualSpacing w:val="0"/>
        <w:rPr/>
      </w:pPr>
      <w:r w:rsidDel="00000000" w:rsidR="00000000" w:rsidRPr="00000000">
        <w:rPr>
          <w:rtl w:val="0"/>
        </w:rPr>
        <w:t xml:space="preserve">8</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The Complete Letters of Sigmund Freud to Wilhelm Fliess, 1887–1904, translated and edited by Jeffrey Moussaieff Masson (Belknap Press/Harvard University Press, 1985), p. 447.  ↩</w:t>
      </w:r>
    </w:p>
    <w:p w:rsidR="00000000" w:rsidDel="00000000" w:rsidP="00000000" w:rsidRDefault="00000000" w:rsidRPr="00000000">
      <w:pPr>
        <w:contextualSpacing w:val="0"/>
        <w:rPr/>
      </w:pPr>
      <w:r w:rsidDel="00000000" w:rsidR="00000000" w:rsidRPr="00000000">
        <w:rPr>
          <w:rtl w:val="0"/>
        </w:rPr>
        <w:t xml:space="preserve">9</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Freud, Standard Edition, Vol. 9, p. 195.  ↩</w:t>
      </w:r>
    </w:p>
    <w:p w:rsidR="00000000" w:rsidDel="00000000" w:rsidP="00000000" w:rsidRDefault="00000000" w:rsidRPr="00000000">
      <w:pPr>
        <w:contextualSpacing w:val="0"/>
        <w:rPr/>
      </w:pPr>
      <w:r w:rsidDel="00000000" w:rsidR="00000000" w:rsidRPr="00000000">
        <w:rPr>
          <w:rtl w:val="0"/>
        </w:rPr>
        <w:t xml:space="preserve">10</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“Everything points to a remarkable concealment in Freud’s love life,” Jones nudged. And elsewhere: “One sensed an invisible reserve behind which it would be impertinent to intrude, and no one ever did”; and “there were features about his attitude that would seem…to justify the word privacy being replaced by secrecy.” See The Life and Work of Sigmund Freud, three volumes (Basic Books, 1953–57), Vol. 1, p. 124; Vol. 2, p. 408. ↩</w:t>
      </w:r>
    </w:p>
    <w:p w:rsidR="00000000" w:rsidDel="00000000" w:rsidP="00000000" w:rsidRDefault="00000000" w:rsidRPr="00000000">
      <w:pPr>
        <w:contextualSpacing w:val="0"/>
        <w:rPr/>
      </w:pPr>
      <w:r w:rsidDel="00000000" w:rsidR="00000000" w:rsidRPr="00000000">
        <w:rPr>
          <w:rtl w:val="0"/>
        </w:rPr>
        <w:t xml:space="preserve">© 1963-2017 NYREV, Inc. All rights reserved.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Font Size: A A 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Man Who Knew Better</w:t>
      </w:r>
    </w:p>
    <w:p w:rsidR="00000000" w:rsidDel="00000000" w:rsidP="00000000" w:rsidRDefault="00000000" w:rsidRPr="00000000">
      <w:pPr>
        <w:contextualSpacing w:val="0"/>
        <w:rPr/>
      </w:pPr>
      <w:r w:rsidDel="00000000" w:rsidR="00000000" w:rsidRPr="00000000">
        <w:rPr>
          <w:rtl w:val="0"/>
        </w:rPr>
        <w:t xml:space="preserve">Roger E. Alcaly FEBRUARY 23, 2017 ISSUE</w:t>
      </w:r>
    </w:p>
    <w:p w:rsidR="00000000" w:rsidDel="00000000" w:rsidP="00000000" w:rsidRDefault="00000000" w:rsidRPr="00000000">
      <w:pPr>
        <w:contextualSpacing w:val="0"/>
        <w:rPr/>
      </w:pPr>
      <w:r w:rsidDel="00000000" w:rsidR="00000000" w:rsidRPr="00000000">
        <w:rPr>
          <w:rtl w:val="0"/>
        </w:rPr>
        <w:t xml:space="preserve">The Man Who Knew: The Life and Times of Alan Greenspan</w:t>
      </w:r>
    </w:p>
    <w:p w:rsidR="00000000" w:rsidDel="00000000" w:rsidP="00000000" w:rsidRDefault="00000000" w:rsidRPr="00000000">
      <w:pPr>
        <w:contextualSpacing w:val="0"/>
        <w:rPr/>
      </w:pPr>
      <w:r w:rsidDel="00000000" w:rsidR="00000000" w:rsidRPr="00000000">
        <w:rPr>
          <w:rtl w:val="0"/>
        </w:rPr>
        <w:t xml:space="preserve">by Sebastian Mallaby</w:t>
      </w:r>
    </w:p>
    <w:p w:rsidR="00000000" w:rsidDel="00000000" w:rsidP="00000000" w:rsidRDefault="00000000" w:rsidRPr="00000000">
      <w:pPr>
        <w:contextualSpacing w:val="0"/>
        <w:rPr/>
      </w:pPr>
      <w:r w:rsidDel="00000000" w:rsidR="00000000" w:rsidRPr="00000000">
        <w:rPr>
          <w:rtl w:val="0"/>
        </w:rPr>
        <w:t xml:space="preserve">Penguin, 781 pp., $40.00</w:t>
      </w:r>
    </w:p>
    <w:p w:rsidR="00000000" w:rsidDel="00000000" w:rsidP="00000000" w:rsidRDefault="00000000" w:rsidRPr="00000000">
      <w:pPr>
        <w:contextualSpacing w:val="0"/>
        <w:rPr/>
      </w:pPr>
      <w:r w:rsidDel="00000000" w:rsidR="00000000" w:rsidRPr="00000000">
        <w:rPr>
          <w:rtl w:val="0"/>
        </w:rPr>
        <w:t xml:space="preserve">Alan Greenspan and Ayn Rand at the White House after Greenspan was sworn in as chairman of Gerald Ford’s Council of Economic Advisers, September 1974</w:t>
      </w:r>
    </w:p>
    <w:p w:rsidR="00000000" w:rsidDel="00000000" w:rsidP="00000000" w:rsidRDefault="00000000" w:rsidRPr="00000000">
      <w:pPr>
        <w:contextualSpacing w:val="0"/>
        <w:rPr/>
      </w:pPr>
      <w:r w:rsidDel="00000000" w:rsidR="00000000" w:rsidRPr="00000000">
        <w:rPr>
          <w:rtl w:val="0"/>
        </w:rPr>
        <w:t xml:space="preserve">David Hume Kennerly/Gerald R. Ford Library/Getty Images</w:t>
      </w:r>
    </w:p>
    <w:p w:rsidR="00000000" w:rsidDel="00000000" w:rsidP="00000000" w:rsidRDefault="00000000" w:rsidRPr="00000000">
      <w:pPr>
        <w:contextualSpacing w:val="0"/>
        <w:rPr/>
      </w:pPr>
      <w:r w:rsidDel="00000000" w:rsidR="00000000" w:rsidRPr="00000000">
        <w:rPr>
          <w:rtl w:val="0"/>
        </w:rPr>
        <w:t xml:space="preserve">Alan Greenspan and Ayn Rand at the White House after Greenspan was sworn in as chairman of Gerald Ford’s Council of Economic Advisers, September 1974</w:t>
      </w:r>
    </w:p>
    <w:p w:rsidR="00000000" w:rsidDel="00000000" w:rsidP="00000000" w:rsidRDefault="00000000" w:rsidRPr="00000000">
      <w:pPr>
        <w:contextualSpacing w:val="0"/>
        <w:rPr/>
      </w:pPr>
      <w:r w:rsidDel="00000000" w:rsidR="00000000" w:rsidRPr="00000000">
        <w:rPr>
          <w:rtl w:val="0"/>
        </w:rPr>
        <w:t xml:space="preserve">Alan Greenspan served as chairman of the Board of Governors of the Federal Reserve System, the most powerful financial position in the world, for eighteen and a half years, from early August 1987 through the end of January 2006. The second-longest-serving Fed chairman, his tenure largely coincided with a period sometimes called the “great moderation,” when economic growth was relatively steady, inflation low, recessions short and mild, and serious crises defused without debilitating downturns.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Under Greenspan’s leadership the Fed had an important and well-publicized part in containing threats to the financial system and economy such as the stock market crash of 1987, the junk bond collapse a few years later, the Asian crisis of 1997 with the deep fall in the value of Asian currencies, Russia’s default in 1998, and the bursting of the tech-stock bubble at the beginning of the new millennium. Although it may have received more credit than it was due, the Fed’s successes earned Greenspan widespread adulation, including the Financial Times anointing him “guardian angel of the financial markets” and Time saying he was chairman of “the Committee to Save the World.”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despite—or because of—his achievements, Greenspan and the economy were eventually brought down by his continued failure to contain financial bubbles, sharp rises in market prices that were not reflected in underlying values. That a sustained period of stability and success in limiting potential dangers would engender complacency and hubris among both policymakers and investors is hardly surprising. Even so, Greenspan’s overconfidence is deeply troubling, for he, like the economist Hyman Minsky, was well aware of the dangers posed by financial bubbles that develop during periods of great stability.1 Sebastian Mallaby’s new biography, The Man Who Knew, ultimately aims to assess how seriously this one great failure undermines Greenspan’s legacy.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Now ninety, Greenspan grew up in Washington Heights, a largely immigrant neighborhood in northern Manhattan where he lived with his mother and her parents in their small apartment. He attended George Washington High School, two years behind Henry Kissinger.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Greenspan was uninterested in college. Musically talented, after graduating high school in 1943 he enrolled at Juilliard to study the saxophone and clarinet but lasted less than a year. Because a spot on one of his lungs exempted him from military service, he was able to tour for a year with Henry Jerome’s dance band before enrolling at the NYU School of Commerce, Accounts, and Finance. At NYU he was taught by Geoffrey Moore, a researcher associated with the National Bureau of Economic Research, an organization whose programs focused on finely measuring the economy’s performance and its cycles. It was an approach that appealed to Greenspan, who had been fascinated with railroad schedules and baseball statistics when he was a boy. Analyzing detailed economic data such as the volume of freight shipments or help-wanted advertising became central to his approach to economics.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early 1950s Greenspan struck up a long relationship with Ayn Rand, a writer and cult figure who celebrated extreme individualism and uninhibited capitalism. Introduced by his soon-to-be ex-wife of less than a year, “The Undertaker,” as the Randians called him because he always dressed in dark suits, soon became an important figure in Rand’s circle. Greenspan told Mallaby his flirtation with Rand was “a phase he had to go through.” But in the 1960s he avidly sought her approval, writing a letter to The New York Times contesting Granville Hicks’s review of Rand’s novel Atlas Shrugged, the first time he had written publicly about an issue not involving economics. His association with Rand also led to the start of his political career through his introduction to Martin Anderson, a fellow Randian and an adviser to Nixon and later Reagan.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His relationship with Rand appears to have meant a great deal to her. In the early 1980s Greenspan chaired a federal commission to reform Social Security, which recommended small tweaks to the system rather than the radical changes that Rand favored, preferably privatizing or doing away with the program entirely. She was furious, and at dinner with him at the University Club soon after she loudly castigated him for compromising his libertarian principles. Rand died on March 6, 1982, just weeks after her dinner with Greenspan, who had become an increasingly prominent acolyte.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that time Greenspan was well on his way toward achieving the power and influence he more and more sought, discarding en route many of his early views and beliefs, including his support for a gold-based currency and much of the strict libertarian creed on which he had agreed with Rand. In 1971 he overlooked Nixon’s overt racism and anti-Semitism in helping to pressure Fed Chairman Arthur Burns to stop raising interest rates in order to improve Nixon’s chances of reelection. Before resigning in August 1974 Nixon nominated Greenspan to chair the President’s Council of Economic Advisers. He was confirmed that September, with Rand in attendance, and served until January 1977.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Perhaps most consequentially, Greenspan modified his concerns about financial bubbles—affecting stock prices among much else—that dated at least to the 1950s and were discussed in a paper he delivered to the American Statistical Association in December 1959. His presentation explored the connections between finance and the “real” economy, not a common concern of economists at that time. He focused specifically on what we now call the “wealth effect”: how increases in stock prices and other asset values increase spending by corporations and consumers, while decreases in asset values, as in the Great Depression, reduce spending, worsening the economy’s fall. Thus, the collapse of demand after the crash, he emphasized, “was not simply an issue of people losing confidence—they were actually significantly poorer.”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may seem an obvious outcome; but such “feedback loops” connecting finance and the economy make it essential, he argued, that central banks take account of asset prices and the effects their policies might have on these prices. In the 1920s the Fed did neither. Nor in fact did Greenspan when he had the chance more than seventy years later. Sharply foreshadowing the critical issues—and failures—of his own years at the Fed, Greenspan’s 1959 paper noted that during the 1920s the Fed not only fostered the stock market bubble through its loose policies and “talk of a new era of stability,” but ignored the extent to which it had done so. And yet again under Greenspan the Fed did not take account of its own effects.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Fittingly, Greenspan considers Paul Volcker, his immediate predecessor and in many ways his polar opposite, “the most important [Fed] Chairman ever.” Appointed in August 1979, Volcker tamed the inflationary spiral that had plagued the 1970s. The major power of the Fed is to raise or lower interest rates, and to stop inflation Volcker raised interest rates to up to 20 percent. Two recessions followed and Volcker endured criticism for causing both. Even liberal economists such as Nobel Laureate James Tobin admired his courage under the circumstances. Tobin wrote in 1994, “I hope that history will give Paul and his colleagues the praise they deserve not only for fighting the war against inflation but also for knowing when to stop, when to declare victory.”2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Mallaby, however, is of two minds about the “legend of Paul Volcker.” First he admits that “by dint of iron-willed persistence, Volcker turned the inflationary 1970s into the disinflationary 1980s.” But does it diminish his achievement, as Mallaby suggests, that Volcker became the Fed chair “at a moment when Americans craved bold leadership”? He did what was necessary, instituting painful policies that Greenspan and most others would probably have avoided. And in cleaning up the inflationary mess of the 1970s he set the stage for the Greenspan years, a period in which globalization and technological change strongly boosted the world economy and reduced the risks of serious inflation.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Alan Greenspan</w:t>
      </w:r>
    </w:p>
    <w:p w:rsidR="00000000" w:rsidDel="00000000" w:rsidP="00000000" w:rsidRDefault="00000000" w:rsidRPr="00000000">
      <w:pPr>
        <w:contextualSpacing w:val="0"/>
        <w:rPr/>
      </w:pPr>
      <w:r w:rsidDel="00000000" w:rsidR="00000000" w:rsidRPr="00000000">
        <w:rPr>
          <w:rtl w:val="0"/>
        </w:rPr>
        <w:t xml:space="preserve">Alan Greenspan; drawing by David Levine</w:t>
      </w:r>
    </w:p>
    <w:p w:rsidR="00000000" w:rsidDel="00000000" w:rsidP="00000000" w:rsidRDefault="00000000" w:rsidRPr="00000000">
      <w:pPr>
        <w:contextualSpacing w:val="0"/>
        <w:rPr/>
      </w:pPr>
      <w:r w:rsidDel="00000000" w:rsidR="00000000" w:rsidRPr="00000000">
        <w:rPr>
          <w:rtl w:val="0"/>
        </w:rPr>
        <w:t xml:space="preserve">During Greenspan’s time in office, risks were more likely to be posed by asset bubbles—huge rises in the values of assets that were not to be explained by their actual worth—than by inflation. This placed a greater burden on maintaining financial stability and on appropriate regulation, both of which were becoming more difficult to impose as financial instruments such as derivatives became more complex. For someone like Greenspan who was always opposed to regulation, the fact that it was harder to exercise was yet another mark against it. As a frustrated representative from upstate New York asked him during 1998 testimony, “How many more failures do you think we’d have to have, Mr. Chairman, before you might think that some regulation in this area”—i.e., derivatives—“might be appropriate?” Cavalierly Greenspan replied, “This is a risky business and I would expect a lot of failures to occur.”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relatively well-known example of Greenspan’s aversion to regulation involves the call in the late 1990s for the regulation of derivatives by the federal administrator Brooksley Born (this is the subject of the Frontline documentary The Warning, which first aired in 2009 and is available on YouTube). A former lawyer, Born headed the Commodity Futures Trading Commission (CFTC), a government agency that regulated derivatives such as soybean futures, contracts tied to the prices of soybeans at specified future times. These instruments allow farmers, for example, to hedge, or offset, the risk that soybean prices will fall by harvest time. By selling their crop today for delivery near the harvest, they can transfer that risk to those, generally speculators, willing to buy soybeans for future delivery.3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CFTC regulated derivatives that were traded on exchanges, and Born wanted also to regulate derivatives that weren’t traded on exchanges, the fastest-growing and riskiest segment of the market. Unlike regulated derivatives, for which the exchange required that participants make partial payments on their trades and guaranteed that trades would be honored, the market for “over-the-counter” derivatives was a free-for-all with participating banks making up rules as they went along. As Born emphasized in the documentary, nobody even knew how extensively these derivatives were being used.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According to Mallaby, Clinton’s Treasury Secretary Robert Rubin was initially sympathetic to Born’s concerns—although the Frontline documentary, which Mallaby doesn’t mention, shows Rubin fully allied with Greenspan. Greenspan was vehemently opposed to Born’s case and her proposal never had a chance. Regulation offended Greenspan’s belief that markets were self-correcting. And it didn’t help that Born was a smart, aggressive woman heading a relatively obscure agency who knew more about derivatives than Greenspan did and was troubled that Greenspan was very slow to take account of her proposals. She was not a member of the club. Greenspan also may have been defending his turf as regulator of many of the banks participating in the over-the-counter derivatives market.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Although Mallaby agrees with many others that the Fed’s failure to address the risks of unregulated derivatives significantly contributed to the economic crisis of 2007, he also blames Born for not accepting some of the compromises to her proposals that were put forward. And he treats Edward Gramlich, the Fed governor in charge of housing-related issues, in a similar “blame the messenger” manner. In 2000 Gramlich became concerned about the spread of unsecured mortgage lending and broached the issue with Greenspan but did not pursue it because, he told The Wall Street Journal just before the crisis, “he [Greenspan] was opposed to it.”4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Despite Greenspan’s clear dismissal, Mallaby criticizes Gramlich for not following through on reforms the powerful chairman was not interested in. He considers it a prime example of critics failing to “connect the dots between abusive lending and systemic risk.” But he entirely omits that Gramlich actually wrote, in 2007, a book warning of the coming mortgage crisis entitled Subprime Mortgages: America’s Latest Boom and Bust. (It was reviewed in these pages by the Harvard economist Benjamin Friedman.)5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a biographer of Greenspan could suggest that Gramlich was too reticent on the crucial subjects of mortgages and not mention his book on them seems oddly neglectful. Not only are Mallaby’s assessments unfair to Gramlich (who died in 2007); they also deflect responsibility, in the case of derivatives, from Greenspan—and Rubin and his deputy Lawrence Summers—for not pursuing concerns that such experts as Gramlich clearly perceived.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2000s were not kind to Greenspan, as he curried favor with the more powerful even when he knew they were wrong—for example, in providing important support for the Bush tax cuts—and adopted monetary policies that encouraged the buildup of the housing bubble. He told the markets when he started raising interest rates that the Fed would be doing so only at a “measured pace.” In fact he never tried raising rates more aggressively to choke off the housing bubble. But after the crash he claimed to those still listening that he was powerless to prevent it from happening.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Greenspan blamed his supposed impotence on the Chinese, a convenient scapegoat frequently invoked by our current president. They were, he claimed, buying US bonds in quantities that prevented rates from rising rapidly enough to cool the bubble. More generally, he attributed his failure to his libertarian worldview—his consistent belief that the markets would police themselves since it was in everybody’s interest to do so—as if that claim would somehow absolve him of direct responsibility.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decade of the 2000s began badly with the collapse of the tech-stock bubble and a relatively mild recession that was followed by a slow recovery, the same pattern that occurred during the 1990–1991 recession. Unlike earlier recessions that generally were caused by the Fed raising interest rates to cool overheated economies, these were caused by collapsing asset values—stocks and real estate, respectively—that decimated the net worth and thus the spending of businesses, families, and individuals, much as Greenspan’s 1959 paper observed of the 1920s. In Fed-induced recessions, the economy tended to bounce back quickly once the central bank reversed course and began lowering interest rates, creating a V-shaped trajectory. But recessions took longer to correct when based on serious losses in balance sheets that carried, for example, many billions of dollars in subprime mortgages and securities based on them. As a result such recoveries tended to be slow and drawn out.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Greenspan can be credited with some insights. He had a prophetic sense in the mid-1990s that productivity was rising even though it was not yet evident in the data. But Greenspan proved incapable of fully adapting to the changes occurring in the economy. Mallaby makes it clear that he never really incorporated the behavior of asset values, whether of stocks or real estate, into his monetary policymaking.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seemed more inclined to accept new academic theories suggesting that central banks adopt “targets” for the rate of inflation they’d like to achieve. It was thought that they’d be more successful in doing so if the Fed and other central banks provided the markets with “forward guidance” about their objectives and likely policies. One of the advocates of the new approach was Ben Bernanke, who served as a member of the Fed Board from 2002 until June 2005 when he became chairman of Bush’s Council of Economic Advisers. He succeeded Greenspan as Fed chair in February 2006 and was an important force in helping to prevent the economy’s collapse from being even worse.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theory, forward guidance is thought to make market adjustments to Fed policy smoother and less disruptive, but to announce in a bubbly real estate environment that the Fed would be raising interest rates very gradually was likely to foster complacency and exacerbate speculation—and it did. The combination of forward guidance and gradual increases in interest rates proved lethal, as was dramatically shown by the financial crisis of 2007–2008.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Mallaby’s summation is both confusing and disappointing, leaning heavily on the unconvincing notion that Greenspan was an observer, not a doer. He argues that although Greenspan “understood the frailty in finance, he underestimated the cost in doing little about it.” This is a distinction that makes no clear sense. For how can one understand financial fragility without appreciating the damage it might cause?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Perhaps, as Mallaby suggests, Greenspan was ambivalent about using monetary policy to deflate the housing bubble and chose a weak middle ground between acting forcefully and not doing anything. He also seems to have vastly underestimated the consequences of his regulatory neglect and the extent to which the banking and financial system was infected with financially weak real estate–related derivatives. And banks were woefully undercapitalized, a situation that Fed regulators allowed to happen. It was almost as if Greenspan’s luck had run out and his severe blind spots were exposed.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Most puzzling is Mallaby’s apparent dismissal of Greenspan’s failures; he believes that it would not have made a difference if Greenspan had done the right things. “If Greenspan had demanded a bolder response to the challenges of leverage, megabanks, and derivatives,” he asks, “would he have made a real difference?” It’s a good question but, amazingly after almost seven hundred pages of biographical detail, Mallaby’s “best guess” is that The Man Who Knew would not.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Mallaby is right that Greenspan could not have made a difference in preventing or mitigating the crisis beginning in 2007, one can also ask serious questions about his importance to the successes that were so celebrated. But if he is wrong, as seems clear from the record, then to the extent that Greenspan’s failures were in part a result of his ideological perspective, as Mallaby documents and Greenspan admitted in hindsight, those failures illustrate how ideology can interfere with good judgment.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I’ve written about some of these issues in “The Right Way to Control the Banks,” The New York Review, June 5, 2014, and “How They Killed the Economy,” The New York Review, March 25, 2010.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James Tobin, “Comment on Monetary Policy in the 1980s,” in American Economic Policy in the 1980s, edited by Martin Feldstein (University of Chicago Press, 1994), p. 152.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For example, in June a soybean farmer might sell forward the crop he’s currently growing for delivery in November. Speculators who bought the soybeans for future delivery would profit if prices in November were higher than they were when the contract was struck. ↩</w:t>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Greg Ip, “Did Greenspan Add to Subprime Woes?,” The Wall Street Journal, June 9, 2007.  ↩</w:t>
      </w:r>
    </w:p>
    <w:p w:rsidR="00000000" w:rsidDel="00000000" w:rsidP="00000000" w:rsidRDefault="00000000" w:rsidRPr="00000000">
      <w:pPr>
        <w:contextualSpacing w:val="0"/>
        <w:rPr/>
      </w:pPr>
      <w:r w:rsidDel="00000000" w:rsidR="00000000" w:rsidRPr="00000000">
        <w:rPr>
          <w:rtl w:val="0"/>
        </w:rPr>
        <w:t xml:space="preserve">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See Benjamin M. Friedman, “Chairman Greenspan’s Legacy,” The New York Review, March 20, 2008. ↩</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