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A9F" w:rsidRDefault="00416A9F" w:rsidP="00416A9F">
      <w:pPr>
        <w:spacing w:after="0"/>
      </w:pPr>
      <w:r>
        <w:t>Emily: The Quiet Earthquake</w:t>
      </w:r>
    </w:p>
    <w:p w:rsidR="00416A9F" w:rsidRDefault="00416A9F" w:rsidP="00416A9F">
      <w:pPr>
        <w:spacing w:after="0"/>
      </w:pPr>
      <w:r>
        <w:t xml:space="preserve">Christopher </w:t>
      </w:r>
      <w:proofErr w:type="spellStart"/>
      <w:r>
        <w:t>Benfey</w:t>
      </w:r>
      <w:proofErr w:type="spellEnd"/>
      <w:r>
        <w:t xml:space="preserve"> JANUARY 19, 2017 ISSUE</w:t>
      </w:r>
    </w:p>
    <w:p w:rsidR="00416A9F" w:rsidRDefault="00416A9F" w:rsidP="00416A9F">
      <w:pPr>
        <w:spacing w:after="0"/>
      </w:pPr>
      <w:r>
        <w:t xml:space="preserve">Emily Dickinson’s Poems </w:t>
      </w:r>
      <w:proofErr w:type="gramStart"/>
      <w:r>
        <w:t>As</w:t>
      </w:r>
      <w:proofErr w:type="gramEnd"/>
      <w:r>
        <w:t xml:space="preserve"> She Preserved Them</w:t>
      </w:r>
    </w:p>
    <w:p w:rsidR="00416A9F" w:rsidRDefault="00416A9F" w:rsidP="00416A9F">
      <w:pPr>
        <w:spacing w:after="0"/>
      </w:pPr>
      <w:r>
        <w:t xml:space="preserve">edited by </w:t>
      </w:r>
      <w:proofErr w:type="spellStart"/>
      <w:r>
        <w:t>Cristanne</w:t>
      </w:r>
      <w:proofErr w:type="spellEnd"/>
      <w:r>
        <w:t xml:space="preserve"> Miller</w:t>
      </w:r>
    </w:p>
    <w:p w:rsidR="00416A9F" w:rsidRDefault="00416A9F" w:rsidP="00416A9F">
      <w:pPr>
        <w:spacing w:after="0"/>
      </w:pPr>
      <w:r>
        <w:t>Belknap Press/Harvard University Press, 845 pp., $39.95</w:t>
      </w:r>
    </w:p>
    <w:p w:rsidR="00416A9F" w:rsidRDefault="00416A9F" w:rsidP="00416A9F">
      <w:pPr>
        <w:spacing w:after="0"/>
      </w:pPr>
      <w:r>
        <w:t>A Quiet Passion</w:t>
      </w:r>
    </w:p>
    <w:p w:rsidR="00416A9F" w:rsidRDefault="00416A9F" w:rsidP="00416A9F">
      <w:pPr>
        <w:spacing w:after="0"/>
      </w:pPr>
      <w:r>
        <w:t>a film directed by Terence Davies</w:t>
      </w:r>
    </w:p>
    <w:p w:rsidR="00416A9F" w:rsidRDefault="00416A9F" w:rsidP="00416A9F">
      <w:pPr>
        <w:spacing w:after="0"/>
      </w:pPr>
      <w:r>
        <w:t>Amherst</w:t>
      </w:r>
    </w:p>
    <w:p w:rsidR="00416A9F" w:rsidRDefault="00416A9F" w:rsidP="00416A9F">
      <w:pPr>
        <w:spacing w:after="0"/>
      </w:pPr>
      <w:r>
        <w:t>by William Nicholson</w:t>
      </w:r>
    </w:p>
    <w:p w:rsidR="00416A9F" w:rsidRDefault="00416A9F" w:rsidP="00416A9F">
      <w:pPr>
        <w:spacing w:after="0"/>
      </w:pPr>
      <w:r>
        <w:t>Simon and Schuster, 287 pp., $16.00 (paper)</w:t>
      </w:r>
    </w:p>
    <w:p w:rsidR="00416A9F" w:rsidRDefault="00416A9F" w:rsidP="00416A9F">
      <w:pPr>
        <w:spacing w:after="0"/>
      </w:pPr>
      <w:r>
        <w:t>A Loaded Gun: Emily Dickinson for the 21st Century</w:t>
      </w:r>
    </w:p>
    <w:p w:rsidR="00416A9F" w:rsidRDefault="00416A9F" w:rsidP="00416A9F">
      <w:pPr>
        <w:spacing w:after="0"/>
      </w:pPr>
      <w:r>
        <w:t xml:space="preserve">by Jerome </w:t>
      </w:r>
      <w:proofErr w:type="spellStart"/>
      <w:r>
        <w:t>Charyn</w:t>
      </w:r>
      <w:proofErr w:type="spellEnd"/>
    </w:p>
    <w:p w:rsidR="00416A9F" w:rsidRDefault="00416A9F" w:rsidP="00416A9F">
      <w:pPr>
        <w:spacing w:after="0"/>
      </w:pPr>
      <w:r>
        <w:t>255 pp., $19.95 (paper)</w:t>
      </w:r>
    </w:p>
    <w:p w:rsidR="00416A9F" w:rsidRDefault="00416A9F" w:rsidP="00416A9F">
      <w:pPr>
        <w:spacing w:after="0"/>
      </w:pPr>
      <w:r>
        <w:t>Emily Dickinson</w:t>
      </w:r>
    </w:p>
    <w:p w:rsidR="00416A9F" w:rsidRDefault="00416A9F" w:rsidP="00416A9F">
      <w:pPr>
        <w:spacing w:after="0"/>
      </w:pPr>
      <w:r>
        <w:t>Mary Evans Picture Library/The Image Works</w:t>
      </w:r>
    </w:p>
    <w:p w:rsidR="00416A9F" w:rsidRDefault="00416A9F" w:rsidP="00416A9F">
      <w:pPr>
        <w:spacing w:after="0"/>
      </w:pPr>
      <w:r>
        <w:t>Emily Dickinson</w:t>
      </w:r>
    </w:p>
    <w:p w:rsidR="00416A9F" w:rsidRDefault="00416A9F" w:rsidP="00416A9F">
      <w:r>
        <w:t xml:space="preserve">“There are paths trodden to the shrines of solitude the world over,” Sarah </w:t>
      </w:r>
      <w:proofErr w:type="spellStart"/>
      <w:r>
        <w:t>Orne</w:t>
      </w:r>
      <w:proofErr w:type="spellEnd"/>
      <w:r>
        <w:t xml:space="preserve"> Jewett wrote in The Country of the Pointed Firs (1896), “—the world cannot forget them, try as it may; the feet of the young find them out because of curiosity and dim foreboding; while the old bring hearts full of remembrance.”</w:t>
      </w:r>
    </w:p>
    <w:p w:rsidR="00416A9F" w:rsidRDefault="00416A9F" w:rsidP="00416A9F"/>
    <w:p w:rsidR="00416A9F" w:rsidRDefault="00416A9F" w:rsidP="00416A9F">
      <w:r>
        <w:t>Emily Dickinson’s bedroom, recently restored to what is thought to be its original appearance, with rose-patterned wallpaper discovered during the project, is one such shrine of solitude, visited every year by thousands of hushed and reverent pilgrims from all over the world. As they enter the Homestead, on Main Street, in Amherst, Massachusetts, they pass through what were once Dickinson’s extensive gardens, the subject of an ongoing archaeological excavation. Then they climb the stairs to the upper sanctuary, where they are greeted by a facsimile of Dickinson’s immaculate white dress—its fragile original is at the local historical society—hanging, ghostly, in a glass case in the hallway leading to the poet’s bedroom.</w:t>
      </w:r>
    </w:p>
    <w:p w:rsidR="00416A9F" w:rsidRDefault="00416A9F" w:rsidP="00416A9F"/>
    <w:p w:rsidR="00416A9F" w:rsidRDefault="00416A9F" w:rsidP="00416A9F">
      <w:r>
        <w:t>Dickinson’s writing desk (another facsimile, since her actual desk, along with half her manuscripts, is owned by Harvard) is believed to be where she wrote her almost two thousand poems, most of them unknown at the time of her death in 1886 at the age of fifty-five. Pictures of two of her favorite authors—Elizabeth Barrett Browning and George Eliot (“What do I think of Middlemarch?” she wrote. “What do I think of glory?”)—hang on the wall. From her front bedroom window, Dickinson could monitor visitors arriving in carriages from Boston; from the side window she could spy on goings-on next door at the Evergreens, the Italianate villa of her melancholy brother, Austin, his wife, Susan Gilbert Dickinson, and their three doomed children, Ned, Martha, and Gilbert.</w:t>
      </w:r>
    </w:p>
    <w:p w:rsidR="00416A9F" w:rsidRDefault="00416A9F" w:rsidP="00416A9F"/>
    <w:p w:rsidR="00416A9F" w:rsidRDefault="00416A9F" w:rsidP="00416A9F">
      <w:r>
        <w:t xml:space="preserve">Our classic writers are accorded certain dramatic roles they are forced to reenact in the popular imagination: dissolute Poe; expansive, multitude-embracing Whitman; rascally, wise-cracking Mark Twain. The picture that most visitors are likely to bring with them to the Homestead was established in </w:t>
      </w:r>
      <w:r>
        <w:lastRenderedPageBreak/>
        <w:t>the introductions to the first volumes of her poems and letters, issued posthumously during the 1890s: the New England nun immured in her bedroom in her virginal white dress, the poet who wrote, from her own experience, that “Renunciation—is a piercing/Virtue,” the poignant line break in the manuscript (renunciation is a piercing, first, and a virtue only after) registering the pain of her self-imposed exile on Main Street.</w:t>
      </w:r>
    </w:p>
    <w:p w:rsidR="00416A9F" w:rsidRDefault="00416A9F" w:rsidP="00416A9F"/>
    <w:p w:rsidR="00416A9F" w:rsidRDefault="00416A9F" w:rsidP="00416A9F">
      <w:r>
        <w:t xml:space="preserve">During the past thirty years, following the publication in 1979 of Richard Sewall’s landmark biography of the poet, feminist responses to her work from Adrienne Rich and others, and the facsimile publication in 1981 of her remarkable manuscripts (often with unresolved word choices suggesting alternate versions of well-known poems, a “fluid” approach to poetic composition clarified in </w:t>
      </w:r>
      <w:proofErr w:type="spellStart"/>
      <w:r>
        <w:t>Cristanne</w:t>
      </w:r>
      <w:proofErr w:type="spellEnd"/>
      <w:r>
        <w:t xml:space="preserve"> Miller’s painstaking new edition of Dickinson’s poems “as she preserved them”), there have been persistent efforts to question the popular view of Dickinson, suggesting that perhaps her renunciation was not as complete as had been thought.1 Three recent attempts to reimagine Dickinson’s life—in a film, a screenwriter’s novel, and a novelist’s wide-ranging reflections—offer strikingly different views of what constituted Dickinson’s central passion, and why the nature of her emotions remains of such pressing interest to us.</w:t>
      </w:r>
    </w:p>
    <w:p w:rsidR="00416A9F" w:rsidRDefault="00416A9F" w:rsidP="00416A9F"/>
    <w:p w:rsidR="00416A9F" w:rsidRDefault="00416A9F" w:rsidP="00416A9F">
      <w:r>
        <w:t xml:space="preserve">The English director Terence Davies’s A Quiet Passion might seem a throwback to an earlier version of the poet, as a martyr of puritanical renunciation who substituted romantic fantasy and an obsession with death for the traditional fulfillments of marriage and publication that were denied her. Davies, whose previous films include a much-admired adaptation of Edith Wharton’s The House of Mirth (2000) and the recent Sunset Song (2015), first encountered Dickinson when he was a teenager and heard Claire Bloom reciting, on a televised documentary, “Because I could not stop for Death.” The poem combines—in its vivid fantasy of a gentleman caller directing his carriage to the graveyard—both romantic longing and death, as it slowly dawns on his passenger that “the Horses’ Heads/ Were toward Eternity.”2 A Quiet Passion darkens and becomes increasingly </w:t>
      </w:r>
      <w:proofErr w:type="spellStart"/>
      <w:r>
        <w:t>claustral</w:t>
      </w:r>
      <w:proofErr w:type="spellEnd"/>
      <w:r>
        <w:t xml:space="preserve"> as it moves ineluctably to its seemingly inevitable close, as the great poem accompanies Dickinson’s horse-led hearse, viewed arrestingly from above, to her waiting grave.</w:t>
      </w:r>
    </w:p>
    <w:p w:rsidR="00416A9F" w:rsidRDefault="00416A9F" w:rsidP="00416A9F"/>
    <w:p w:rsidR="00416A9F" w:rsidRDefault="00416A9F" w:rsidP="00416A9F">
      <w:r>
        <w:t xml:space="preserve">But Davies’s other formative influence, revealed during comments accompanying a private screening of the film in Amherst, were the explosive, woman-centered films of Joan Crawford. In A Quiet Passion, he has elicited a remarkable performance from Cynthia Nixon. It must have been tempting to portray Dickinson, whose letters bristle with sly remarks, as a witty woman out of Oscar Wilde, astonishing the household with her irreverent, barbed mots. “House is being cleaned,” Dickinson once wrote. “I prefer pestilence.” Instead, Nixon’s Dickinson takes delight in the epigrams of others, especially her rebellious friend </w:t>
      </w:r>
      <w:proofErr w:type="spellStart"/>
      <w:r>
        <w:t>Vryling</w:t>
      </w:r>
      <w:proofErr w:type="spellEnd"/>
      <w:r>
        <w:t xml:space="preserve"> Buffam (Catherine Bailey). Buffam is allowed to say what we are led to think, by her delighted response, Dickinson also believes, on abolition, feminism, and religion. Still, there is much that remains unsaid in this intensely interior film; we often see Dickinson from the back, as in a Caspar David Friedrich painting, or silently at her desk, writing. We are reminded continually, by the soundtrack of silence and the lightest ambient sound, of the stillness of nineteenth-century houses at night, the lamp-lit darkness, the ominous ticking of the clock.</w:t>
      </w:r>
    </w:p>
    <w:p w:rsidR="00416A9F" w:rsidRDefault="00416A9F" w:rsidP="00416A9F"/>
    <w:p w:rsidR="00416A9F" w:rsidRDefault="00416A9F" w:rsidP="00416A9F">
      <w:r>
        <w:t xml:space="preserve">Faith and family are at the heart of this film, which opens with the scene, based on some details from the historical record, of Mary Lyon, the formidable founder of Mount Holyoke Female Seminary, ruthlessly triaging her students into three categories: those who recognize Jesus Christ as their savior; those who cherish a hope of salvation; and the so-called “no-hopers.” Dickinson, isolated in her honesty, is the sole no-hoper. A version of the scene is repeated when Dickinson refuses to kneel in a family prayer service and her stern but sympathetic father, played by a bewigged and almost unrecognizable Keith </w:t>
      </w:r>
      <w:proofErr w:type="spellStart"/>
      <w:r>
        <w:t>Carradine</w:t>
      </w:r>
      <w:proofErr w:type="spellEnd"/>
      <w:r>
        <w:t>, berates her for not even trying to keep up appearances—clearly his own minimum standard for appropriate behavior.</w:t>
      </w:r>
    </w:p>
    <w:p w:rsidR="00416A9F" w:rsidRDefault="00416A9F" w:rsidP="00416A9F"/>
    <w:p w:rsidR="00416A9F" w:rsidRDefault="00416A9F" w:rsidP="00416A9F">
      <w:r>
        <w:t>After Miss Buffam is exiled to a marriage she cynically assents to, Dickinson is distraught</w:t>
      </w:r>
      <w:proofErr w:type="gramStart"/>
      <w:r>
        <w:t>—“</w:t>
      </w:r>
      <w:proofErr w:type="gramEnd"/>
      <w:r>
        <w:t xml:space="preserve">They all leave!”—and finds solace in the company of her sympathetic sister, Lavinia, handsomely played by Jennifer </w:t>
      </w:r>
      <w:proofErr w:type="spellStart"/>
      <w:r>
        <w:t>Ehle</w:t>
      </w:r>
      <w:proofErr w:type="spellEnd"/>
      <w:r>
        <w:t>. One of the best scenes in the film is a tea party that devolves into a water party when the guests, the Reverend Charles Wadsworth (whose sermon has moved Dickinson to a “quiet passion”) and his astringent wife, announce that they are total abstainers. The emotional high point of the film occurs when Dickinson takes Wadsworth (who has requested warm water, signaling his own simmering passion) on a stroll through her garden, and he admires the poems that she shows him. When Wadsworth leaves for a post in San Francisco, Dickinson feels even more abandoned, though Lavinia reminds her that Wadsworth is unavailable.</w:t>
      </w:r>
    </w:p>
    <w:p w:rsidR="00416A9F" w:rsidRDefault="00416A9F" w:rsidP="00416A9F"/>
    <w:p w:rsidR="00416A9F" w:rsidRDefault="00416A9F" w:rsidP="00416A9F">
      <w:r>
        <w:t>It seems a bit inconsistent, under the circumstances, for Dickinson to explode—a “Vesuvius at Home,” as she once described herself—when she finds her brother Austin having sex with his much younger mistress, Mabel Loomis Todd, in the Homestead living room. Dickinson, in Davies’s final view of her, appears to adopt precisely the sort of puritanical moralizing that would have pleased the repressed Victorians of her father’s generation.</w:t>
      </w:r>
    </w:p>
    <w:p w:rsidR="00416A9F" w:rsidRDefault="00416A9F" w:rsidP="00416A9F"/>
    <w:p w:rsidR="00416A9F" w:rsidRDefault="00416A9F" w:rsidP="00416A9F">
      <w:r>
        <w:t xml:space="preserve">Little of all this has any biographical basis. There is no evidence, for example, that Mabel Todd—a writer, musician, and wife of the Amherst College astronomer David Todd—ever met Dickinson. </w:t>
      </w:r>
      <w:proofErr w:type="spellStart"/>
      <w:r>
        <w:t>Vryling</w:t>
      </w:r>
      <w:proofErr w:type="spellEnd"/>
      <w:r>
        <w:t xml:space="preserve"> Buffam is an invention, a stand-in for several intense female friends, including Dickinson’s sister-in-law, Susan Gilbert, in the course of the poet’s life.</w:t>
      </w:r>
    </w:p>
    <w:p w:rsidR="00416A9F" w:rsidRDefault="00416A9F" w:rsidP="00416A9F"/>
    <w:p w:rsidR="00416A9F" w:rsidRDefault="00416A9F" w:rsidP="00416A9F">
      <w:r>
        <w:t>Thomas Wentworth Higginson, her chosen if perhaps blinkered literary adviser, is missing from the film, and so is the older Judge Otis Lord, with whom Dickinson is thought to have had an affair late in life. Davies has made it clear that he aimed for what he calls “narrative truth” rather than fidelity to the factual record. (Asked, at the showing I attended, why he had given so little attention to Dickinson’s relation with nature, Davies charmingly replied, hand cocked to his ear, “Her relation with Nietzsche?”) What he has tried to convey, above all, is a supremely gifted woman under enormous pressure from family, conventional religious expectations, and circumstance who achieved, despite such hurdles, what Dickinson called “A quiet—Earthquake Style” in her indelible poetry.</w:t>
      </w:r>
    </w:p>
    <w:p w:rsidR="00416A9F" w:rsidRDefault="00416A9F" w:rsidP="00416A9F"/>
    <w:p w:rsidR="00416A9F" w:rsidRDefault="00416A9F" w:rsidP="00416A9F">
      <w:r>
        <w:t>Cynthia Nixon as Emily Dickinson in Terence Davies’s film A Quiet Passion</w:t>
      </w:r>
    </w:p>
    <w:p w:rsidR="00416A9F" w:rsidRDefault="00416A9F" w:rsidP="00416A9F">
      <w:r>
        <w:t>Music Box Films</w:t>
      </w:r>
    </w:p>
    <w:p w:rsidR="00416A9F" w:rsidRDefault="00416A9F" w:rsidP="00416A9F">
      <w:r>
        <w:t>Cynthia Nixon as Emily Dickinson in Terence Davies’s film A Quiet Passion</w:t>
      </w:r>
    </w:p>
    <w:p w:rsidR="00416A9F" w:rsidRDefault="00416A9F" w:rsidP="00416A9F">
      <w:r>
        <w:t>Another movie-driven version of Dickinson, by the English screenwriter William Nicholson, who received Oscar nominations for his work on Gladiator (2000) and the C.S. Lewis biopic Shadowlands (1993), also seeks to identify Dickinson’s central “passion.” In Nicholson’s lively and well-researched novel Amherst, a young English screenwriter named Alice Dickinson, moonlighting from her job in advertising, arrives in town to research her film concept about the affair of Austin Dickinson and Mabel Loomis Todd. Alice has decided, based on her own experience, and confirmed as she watches an episode of Girls during her transatlantic flight, that passion is in short supply in our contemporary world, in which “everything’s possible” and “loving has become an extension of shopping.” An italicized passage might summarize this novel: “You can have passion or you can have gratification, but you can’t have both.”</w:t>
      </w:r>
    </w:p>
    <w:p w:rsidR="00416A9F" w:rsidRDefault="00416A9F" w:rsidP="00416A9F"/>
    <w:p w:rsidR="00416A9F" w:rsidRDefault="00416A9F" w:rsidP="00416A9F">
      <w:r>
        <w:t>Alice is convinced that Mabel and Austin, flagrantly trampling on social norms, did achieve passion, but she isn’t quite sure how Emily Dickinson fits into the picture, nor does she have a satisfactory ending for her film treatment. She solves both problems at the same time: Dickinson, she decides, experienced passionate love vicariously, through her chosen surrogate, Austin. At the same time, she secured her own immortality as a poet through her chosen publicist Mabel Todd, who collaborated with Higginson as coeditor, thus delivering Dickinson’s “Letter to the World” after her death. “Austin was very timid and conventional,” Alice explains to a friend. “I like the idea that it was Emily who pushed him into the affair. Passion by proxy, sort of thing.” She imagines Dickinson saying, “Go further, Austin. For me.” As part of her research on the nature of passion, twenty-four-year-old Alice has an affair with Nick Crocker, a charismatic, married, and much older English professor at Amherst College.</w:t>
      </w:r>
    </w:p>
    <w:p w:rsidR="00416A9F" w:rsidRDefault="00416A9F" w:rsidP="00416A9F"/>
    <w:p w:rsidR="00416A9F" w:rsidRDefault="00416A9F" w:rsidP="00416A9F">
      <w:r>
        <w:t>Nicholson’s boldest narrative decision is to portray Dickinson not as a character interacting with others, as in Davies’s film, but as a ghostly presence who monitors events from some spiritual sphere beyond the grave. We are invited to believe that Dickinson approves of her wayward brother’s May-to-December affair with Mabel, a kind of blanket permission for the workings of Eros that is meant to extend to the twenty-first-century screenwriter and her own affair with an older man. “Emily was on the side of passion,” Alice concludes. Unlike Davies’s Dickinson, Nicholson’s poet wants to explode all social conventions, unleashing passion rather than keeping it “quiet.”</w:t>
      </w:r>
    </w:p>
    <w:p w:rsidR="00416A9F" w:rsidRDefault="00416A9F" w:rsidP="00416A9F"/>
    <w:p w:rsidR="00416A9F" w:rsidRDefault="00416A9F" w:rsidP="00416A9F">
      <w:r>
        <w:t xml:space="preserve">Did Dickinson approve of Austin’s affair? Some, including the scholar Polly </w:t>
      </w:r>
      <w:proofErr w:type="spellStart"/>
      <w:r>
        <w:t>Longsworth</w:t>
      </w:r>
      <w:proofErr w:type="spellEnd"/>
      <w:r>
        <w:t>, who first brought the affair to wide attention, have assumed so, noting, as Nicholson also does, that there is evidence that Austin’s marriage was a sexless one. Others, such as Lyndall Gordon in her book Lives Like Loaded Guns (2010), one of Davies’s sources, have surmised the opposite. The truth is, we simply don’t know enough to be confident about Dickinson’s views on such matters. Fiction has gone where biography fears to tread.</w:t>
      </w:r>
    </w:p>
    <w:p w:rsidR="00416A9F" w:rsidRDefault="00416A9F" w:rsidP="00416A9F"/>
    <w:p w:rsidR="00416A9F" w:rsidRDefault="00416A9F" w:rsidP="00416A9F">
      <w:r>
        <w:t xml:space="preserve">Jerome </w:t>
      </w:r>
      <w:proofErr w:type="spellStart"/>
      <w:r>
        <w:t>Charyn’s</w:t>
      </w:r>
      <w:proofErr w:type="spellEnd"/>
      <w:r>
        <w:t xml:space="preserve"> racy 2010 novel The Secret Life of Emily Dickinson was a previous attempt to blow the genteel cover off Dickinson’s supposed true passions. </w:t>
      </w:r>
      <w:proofErr w:type="spellStart"/>
      <w:r>
        <w:t>Charyn</w:t>
      </w:r>
      <w:proofErr w:type="spellEnd"/>
      <w:r>
        <w:t>, who says he “never believed much in her spinsterhood and shriveled sexuality,” invented a fictional handyman at Mount Holyoke for Dickinson’s sexual initiation, as a sort of counterweight to Mary Lyon’s enforced piety. In A Loaded Gun, he is again out to release Dickinson from the myths that have enclosed her. While purporting to be nonfiction—with essayistic chapters on Dickinson’s mother, her dog, her servants, her photographic image, her poetic fragments—</w:t>
      </w:r>
      <w:proofErr w:type="spellStart"/>
      <w:r>
        <w:t>Charyn’s</w:t>
      </w:r>
      <w:proofErr w:type="spellEnd"/>
      <w:r>
        <w:t xml:space="preserve"> book is perhaps best viewed as yet another imaginative attempt to get to the source of Dickinson’s emotional intensity, and to imagine an “Emily Dickinson for the 21st Century.”</w:t>
      </w:r>
    </w:p>
    <w:p w:rsidR="00416A9F" w:rsidRDefault="00416A9F" w:rsidP="00416A9F"/>
    <w:p w:rsidR="00416A9F" w:rsidRDefault="00416A9F" w:rsidP="00416A9F">
      <w:r>
        <w:t xml:space="preserve">Drawing on the research of previous biographers and scholars (including my own), </w:t>
      </w:r>
      <w:proofErr w:type="spellStart"/>
      <w:r>
        <w:t>Charyn</w:t>
      </w:r>
      <w:proofErr w:type="spellEnd"/>
      <w:r>
        <w:t xml:space="preserve"> is ultimately less interested in biographical accuracy than in gaining imaginative access to Dickinson’s difficult poetry, and to one poem in particular:</w:t>
      </w:r>
    </w:p>
    <w:p w:rsidR="00416A9F" w:rsidRDefault="00416A9F" w:rsidP="00416A9F"/>
    <w:p w:rsidR="00416A9F" w:rsidRDefault="00416A9F" w:rsidP="00416A9F">
      <w:r>
        <w:t>My Life had stood – a Loaded Gun –</w:t>
      </w:r>
    </w:p>
    <w:p w:rsidR="00416A9F" w:rsidRDefault="00416A9F" w:rsidP="00416A9F">
      <w:r>
        <w:t>In Corners – till a Day</w:t>
      </w:r>
    </w:p>
    <w:p w:rsidR="00416A9F" w:rsidRDefault="00416A9F" w:rsidP="00416A9F">
      <w:r>
        <w:t>The Owner passed – identified –</w:t>
      </w:r>
    </w:p>
    <w:p w:rsidR="00416A9F" w:rsidRDefault="00416A9F" w:rsidP="00416A9F">
      <w:r>
        <w:t>And carried Me away –</w:t>
      </w:r>
    </w:p>
    <w:p w:rsidR="00416A9F" w:rsidRDefault="00416A9F" w:rsidP="00416A9F">
      <w:r>
        <w:t xml:space="preserve">And now We roam in </w:t>
      </w:r>
      <w:proofErr w:type="spellStart"/>
      <w:r>
        <w:t>Sovreign</w:t>
      </w:r>
      <w:proofErr w:type="spellEnd"/>
      <w:r>
        <w:t xml:space="preserve"> Woods –</w:t>
      </w:r>
    </w:p>
    <w:p w:rsidR="00416A9F" w:rsidRDefault="00416A9F" w:rsidP="00416A9F">
      <w:r>
        <w:t>And now We hunt the Doe –</w:t>
      </w:r>
    </w:p>
    <w:p w:rsidR="00416A9F" w:rsidRDefault="00416A9F" w:rsidP="00416A9F">
      <w:r>
        <w:t>And every time I speak for Him</w:t>
      </w:r>
    </w:p>
    <w:p w:rsidR="00416A9F" w:rsidRDefault="00416A9F" w:rsidP="00416A9F">
      <w:r>
        <w:t>The Mountains straight reply –</w:t>
      </w:r>
    </w:p>
    <w:p w:rsidR="00416A9F" w:rsidRDefault="00416A9F" w:rsidP="00416A9F">
      <w:r>
        <w:t>And do I smile, such cordial light</w:t>
      </w:r>
    </w:p>
    <w:p w:rsidR="00416A9F" w:rsidRDefault="00416A9F" w:rsidP="00416A9F">
      <w:r>
        <w:t>Upon the Valley glow –</w:t>
      </w:r>
    </w:p>
    <w:p w:rsidR="00416A9F" w:rsidRDefault="00416A9F" w:rsidP="00416A9F">
      <w:r>
        <w:t xml:space="preserve">It is as a </w:t>
      </w:r>
      <w:proofErr w:type="spellStart"/>
      <w:r>
        <w:t>Vesuvian</w:t>
      </w:r>
      <w:proofErr w:type="spellEnd"/>
      <w:r>
        <w:t xml:space="preserve"> face</w:t>
      </w:r>
    </w:p>
    <w:p w:rsidR="00416A9F" w:rsidRDefault="00416A9F" w:rsidP="00416A9F">
      <w:r>
        <w:t>Had let its pleasure through –</w:t>
      </w:r>
    </w:p>
    <w:p w:rsidR="00416A9F" w:rsidRDefault="00416A9F" w:rsidP="00416A9F"/>
    <w:p w:rsidR="00416A9F" w:rsidRDefault="00416A9F" w:rsidP="00416A9F">
      <w:r>
        <w:t xml:space="preserve">Three stanzas follow, in which the speaking gun brags about guarding her owner’s head at night and killing her owner’s foe (“None stir the second time – /On whom I lay a Yellow Eye – /Or </w:t>
      </w:r>
      <w:proofErr w:type="gramStart"/>
      <w:r>
        <w:t>An</w:t>
      </w:r>
      <w:proofErr w:type="gramEnd"/>
      <w:r>
        <w:t xml:space="preserve"> emphatic Thumb”).</w:t>
      </w:r>
    </w:p>
    <w:p w:rsidR="00416A9F" w:rsidRDefault="00416A9F" w:rsidP="00416A9F"/>
    <w:p w:rsidR="00416A9F" w:rsidRDefault="00416A9F" w:rsidP="00416A9F">
      <w:r>
        <w:t xml:space="preserve">At first glance, this violent poem, first proposed by the poet Adrienne Rich as Dickinson’s most self-identifying work, seems in a different register altogether from the genteel and apparently old-fashioned </w:t>
      </w:r>
      <w:r>
        <w:lastRenderedPageBreak/>
        <w:t xml:space="preserve">“Because I could not stop for Death,” an earlier generation’s choice for Dickinson’s supreme masterpiece. And yet the two poems have some obvious features in common. Both are parables in which a male figure associated with death claims control of a passive female speaker. In one poem, the speaker, a loaded gun, shares in the mayhem (“To foe of His – I’m deadly foe”); in the other she is a victim of it. With its riddling structure, the poem about the gun has attracted much commentary, though little critical consensus. “Perhaps no single allegorical meaning can be made to fit the poem perfectly,” Helen </w:t>
      </w:r>
      <w:proofErr w:type="spellStart"/>
      <w:r>
        <w:t>Vendler</w:t>
      </w:r>
      <w:proofErr w:type="spellEnd"/>
      <w:r>
        <w:t xml:space="preserve"> concludes in her commentary.</w:t>
      </w:r>
    </w:p>
    <w:p w:rsidR="00416A9F" w:rsidRDefault="00416A9F" w:rsidP="00416A9F"/>
    <w:p w:rsidR="00416A9F" w:rsidRDefault="00416A9F" w:rsidP="00416A9F">
      <w:r>
        <w:t>But if I had to choose, I would see fiery Dickinson and her eroticized Male Muse as Gun and Master, and think of the poem as the depiction of Dickinson’s ecstatic and aggressive release of her firepower into the world of expressive language.3</w:t>
      </w:r>
    </w:p>
    <w:p w:rsidR="00416A9F" w:rsidRDefault="00416A9F" w:rsidP="00416A9F"/>
    <w:p w:rsidR="00416A9F" w:rsidRDefault="00416A9F" w:rsidP="00416A9F">
      <w:proofErr w:type="spellStart"/>
      <w:r>
        <w:t>Charyn</w:t>
      </w:r>
      <w:proofErr w:type="spellEnd"/>
      <w:r>
        <w:t xml:space="preserve"> thinks that a puzzling daguerreotype, which serves as the frontispiece for his book, brings us closer to the emotional texture of this elusive poem. Acquired by a collector at a junk sale in western Massachusetts in 1995, and subjected to years of expert scrutiny under the supervision of the Amherst College Special Collections, it was first brought to public notice in 2012 by the Dickinson scholar Martha Nell Smith, and presented (on the basis of careful analysis of Dickinson’s alleged astigmatism, and other physical traits) as a possible image of a mature Emily Dickinson and her friend Kate Scott (who was known, among other identifying marks, to have two moles on her face). Since only one reliable photographic image of Dickinson is known to exist, which is thought to depict her at age sixteen, this was electrifying news, rendered more piquant by the second woman in the portrait, dressed in mourning, around whose back Dickinson (if it is Dickinson) extends her left arm, either to comfort, caress, or possess.</w:t>
      </w:r>
    </w:p>
    <w:p w:rsidR="00416A9F" w:rsidRDefault="00416A9F" w:rsidP="00416A9F"/>
    <w:p w:rsidR="00416A9F" w:rsidRDefault="00416A9F" w:rsidP="00416A9F">
      <w:r>
        <w:t>Kate Scott is a name well known to Dickinson scholars. In 1951, Rebecca Patterson published a book, much ridiculed at the time, called The Riddle of Emily Dickinson, in which the proposed “solution” to the difficulties presented by many poems was a passionate affair between Kate and Emily, allegedly begun around 1859, when Kate, the widow of a Cooperstown physician, visited her former classmate Susan Dickinson in Amherst. Following the visit, the first of four that Kate made to Amherst, Emily Dickinson wrote several letters to her, including one in which the words fall into her favored ballad measure:</w:t>
      </w:r>
    </w:p>
    <w:p w:rsidR="00416A9F" w:rsidRDefault="00416A9F" w:rsidP="00416A9F"/>
    <w:p w:rsidR="00416A9F" w:rsidRDefault="00416A9F" w:rsidP="00416A9F">
      <w:r>
        <w:t xml:space="preserve">I touch your hand—my cheek your cheek—I stroke your vanished hair, </w:t>
      </w:r>
      <w:proofErr w:type="gramStart"/>
      <w:r>
        <w:t>Why</w:t>
      </w:r>
      <w:proofErr w:type="gramEnd"/>
      <w:r>
        <w:t xml:space="preserve"> did you enter, sister, since you must depart? Had not its heart been torn enough but you must send your shred? Oh! our Condor Kate! Come from your crags again!</w:t>
      </w:r>
    </w:p>
    <w:p w:rsidR="00416A9F" w:rsidRDefault="00416A9F" w:rsidP="00416A9F"/>
    <w:p w:rsidR="00416A9F" w:rsidRDefault="00416A9F" w:rsidP="00416A9F">
      <w:r>
        <w:t>Kate traveled to Italy instead, apparently inspiring a poem of Dickinson’s in which, habituated to despair, the poet rejects hope as too overwhelming. “It might be easier/To fail – with Land in Sight – /Than gain – My Blue Peninsula – /To perish – of Delight.”</w:t>
      </w:r>
    </w:p>
    <w:p w:rsidR="00416A9F" w:rsidRDefault="00416A9F" w:rsidP="00416A9F"/>
    <w:p w:rsidR="00416A9F" w:rsidRDefault="00416A9F" w:rsidP="00416A9F">
      <w:r>
        <w:t xml:space="preserve">This poem, along with Patterson’s novelistic book, inspired in turn one of Joseph Cornell’s most intensely imagined sculptural boxes, named Toward the Blue Peninsula (circa 1953), in which an absent bird, a stand-in for Dickinson, seems to have escaped its cell-like white room, furnished with a lone perch. </w:t>
      </w:r>
      <w:proofErr w:type="spellStart"/>
      <w:r>
        <w:t>Charyn</w:t>
      </w:r>
      <w:proofErr w:type="spellEnd"/>
      <w:r>
        <w:t xml:space="preserve"> notes that Cornell had learned something of Dickinson’s own creative and sometimes, in her manuscripts, collage-like processes from his friend Jay </w:t>
      </w:r>
      <w:proofErr w:type="spellStart"/>
      <w:r>
        <w:t>Leyda</w:t>
      </w:r>
      <w:proofErr w:type="spellEnd"/>
      <w:r>
        <w:t xml:space="preserve">, a prominent Dickinson scholar and historian of film who had helped to establish the text of the landmark 1955 edition of her complete poems. Cornell sent a multicolored pencil, named “Lovely,” to </w:t>
      </w:r>
      <w:proofErr w:type="spellStart"/>
      <w:r>
        <w:t>Leyda</w:t>
      </w:r>
      <w:proofErr w:type="spellEnd"/>
      <w:r>
        <w:t xml:space="preserve"> in honor of the poet; one suspects that perhaps he meant to suggest “Lonely” as well.</w:t>
      </w:r>
    </w:p>
    <w:p w:rsidR="00416A9F" w:rsidRDefault="00416A9F" w:rsidP="00416A9F"/>
    <w:p w:rsidR="00416A9F" w:rsidRDefault="00416A9F" w:rsidP="00416A9F">
      <w:r>
        <w:t xml:space="preserve">For </w:t>
      </w:r>
      <w:proofErr w:type="spellStart"/>
      <w:r>
        <w:t>Charyn</w:t>
      </w:r>
      <w:proofErr w:type="spellEnd"/>
      <w:r>
        <w:t>, the “second dag” (as he calls the newly discovered photograph) helps to destroy, once and for all, the lingering image of Dickinson as the “harmless maiden aunt who happened to write poetry.” He concedes that the authenticity of the image may remain in doubt. “Still,” he writes, “for the first time in over 150 years, we have what may be an image of Dickinson in her own prime as a poet, and with some sexual heat, rather than a recluse and a nun in white.” The photograph, he says,</w:t>
      </w:r>
    </w:p>
    <w:p w:rsidR="00416A9F" w:rsidRDefault="00416A9F" w:rsidP="00416A9F"/>
    <w:p w:rsidR="00416A9F" w:rsidRDefault="00416A9F" w:rsidP="00416A9F">
      <w:r>
        <w:t>rides us right into the twenty-first century with Emily Dickinson, not so much because of the revelations about her and Condor Kate, but because of the enchantment of the daguerreotype itself, and the persona it reveals to us, Dickinson as a carnivore, a huntress.</w:t>
      </w:r>
    </w:p>
    <w:p w:rsidR="00416A9F" w:rsidRDefault="00416A9F" w:rsidP="00416A9F"/>
    <w:p w:rsidR="00416A9F" w:rsidRDefault="00416A9F" w:rsidP="00416A9F">
      <w:r>
        <w:t xml:space="preserve">More specifically, the daguerreotype “takes us into the landscape of ‘My life had stood a loaded gun,’” according to </w:t>
      </w:r>
      <w:proofErr w:type="spellStart"/>
      <w:r>
        <w:t>Charyn</w:t>
      </w:r>
      <w:proofErr w:type="spellEnd"/>
      <w:r>
        <w:t>.</w:t>
      </w:r>
    </w:p>
    <w:p w:rsidR="00416A9F" w:rsidRDefault="00416A9F" w:rsidP="00416A9F"/>
    <w:p w:rsidR="00416A9F" w:rsidRDefault="00416A9F" w:rsidP="00416A9F">
      <w:r>
        <w:t>It’s darker than we might ever have imagined. The Master and his Loaded Gun share the same persona. The Doe they hunt is for a different kind of winter meat—sexual prey…. And isn’t Condor Kate Dickinson’s “prey” in the daguerreotype, her conquest, whom she’s sharing with the camera and with us?</w:t>
      </w:r>
    </w:p>
    <w:p w:rsidR="00416A9F" w:rsidRDefault="00416A9F" w:rsidP="00416A9F"/>
    <w:p w:rsidR="00416A9F" w:rsidRDefault="00416A9F" w:rsidP="00416A9F">
      <w:r>
        <w:t xml:space="preserve">Such a torrid view of Dickinson may not be to every reader’s taste. One may wonder, for example, why a female sexual predator is any more appealing than a male one. A corrective of the old version of Dickinson as (to quote the poet-critic John Crowe Ransom) “a little home-keeping person” was surely needed. And yet on what grounds are we to believe that our </w:t>
      </w:r>
      <w:proofErr w:type="spellStart"/>
      <w:r>
        <w:t>Dickinsons</w:t>
      </w:r>
      <w:proofErr w:type="spellEnd"/>
      <w:r>
        <w:t xml:space="preserve"> for the twenty-first century are any less a projection of our own notions of how a nineteenth-century poet might think and feel than the Dickinson of the 1890s, the 1950s, or the 1980s? Less sexually repressed, less aesthetically or morally or religiously conventional, as we imagine ourselves, are we somehow freer to see the truth about Dickinson? Perhaps, in our greater distance from Dickinson’s specific circumstances, the opposite is the case.</w:t>
      </w:r>
    </w:p>
    <w:p w:rsidR="00416A9F" w:rsidRDefault="00416A9F" w:rsidP="00416A9F"/>
    <w:p w:rsidR="00416A9F" w:rsidRDefault="00416A9F" w:rsidP="00416A9F">
      <w:r>
        <w:lastRenderedPageBreak/>
        <w:t>As the philandering English professor Nick Crocker observes in Amherst, “We each make an Emily in our own image.” But the shy and retiring Emily Dickinson, of whom there is so much biographical evidence, cannot be transformed into amative Walt Whitman (whose book she had not read, she told Higginson, though she had heard it was “disgraceful”) by merely willing it so. She is both the gun standing in the corner as well as the gun firing its yellow eye; this is the paradox, so deeply ingrained in Dickinson’s poetry, of her quiet earthquake style. And maybe those visitors to the Homestead, bringing their “dim foreboding” to the lonely bedroom and the clean white dress, are not entirely wrong in their suppositions.</w:t>
      </w:r>
    </w:p>
    <w:p w:rsidR="00416A9F" w:rsidRDefault="00416A9F" w:rsidP="00416A9F">
      <w:bookmarkStart w:id="0" w:name="_GoBack"/>
      <w:bookmarkEnd w:id="0"/>
    </w:p>
    <w:p w:rsidR="00416A9F" w:rsidRDefault="00416A9F" w:rsidP="00416A9F">
      <w:r>
        <w:t>1</w:t>
      </w:r>
    </w:p>
    <w:p w:rsidR="00416A9F" w:rsidRDefault="00416A9F" w:rsidP="00416A9F">
      <w:r>
        <w:t xml:space="preserve">Dickinson’s “envelope poems,” poetic fragments drafted on scraps of paper salvaged from her correspondence, suggest an even more radical “fluidity” of composition, as well as implying, through their creative reuse of envelopes, a relationship to the intimate exchange of letters. First sumptuously published in The Gorgeous Nothings (New Directions, 2013), and compiled by Marta L. Werner and Jen </w:t>
      </w:r>
      <w:proofErr w:type="spellStart"/>
      <w:r>
        <w:t>Bervin</w:t>
      </w:r>
      <w:proofErr w:type="spellEnd"/>
      <w:r>
        <w:t xml:space="preserve">, a selection is now available in smaller format as Emily Dickinson: Envelope Poems, from New Directions. For more on this subject, see my “The Art of Janet Malcolm and Emily Dickinson,” The New York Review, February 20, 2014.  </w:t>
      </w:r>
      <w:r>
        <w:rPr>
          <w:rFonts w:ascii="Cambria Math" w:hAnsi="Cambria Math" w:cs="Cambria Math"/>
        </w:rPr>
        <w:t>↩</w:t>
      </w:r>
    </w:p>
    <w:p w:rsidR="00416A9F" w:rsidRDefault="00416A9F" w:rsidP="00416A9F">
      <w:r>
        <w:t>2</w:t>
      </w:r>
    </w:p>
    <w:p w:rsidR="00416A9F" w:rsidRDefault="00416A9F" w:rsidP="00416A9F">
      <w:proofErr w:type="spellStart"/>
      <w:r>
        <w:t>Cristanne</w:t>
      </w:r>
      <w:proofErr w:type="spellEnd"/>
      <w:r>
        <w:t xml:space="preserve"> Miller notes that Dickinson, an avid letter writer, shared more than a quarter of her poems with family and friends, but tended to keep poems about “death, pain, and desire” private. “Because I could not stop for Death” was sent to no one. </w:t>
      </w:r>
      <w:r>
        <w:rPr>
          <w:rFonts w:ascii="Cambria Math" w:hAnsi="Cambria Math" w:cs="Cambria Math"/>
        </w:rPr>
        <w:t>↩</w:t>
      </w:r>
    </w:p>
    <w:p w:rsidR="00416A9F" w:rsidRDefault="00416A9F" w:rsidP="00416A9F">
      <w:r>
        <w:t>3</w:t>
      </w:r>
    </w:p>
    <w:p w:rsidR="001964CA" w:rsidRDefault="00416A9F" w:rsidP="00416A9F">
      <w:pPr>
        <w:rPr>
          <w:rFonts w:ascii="Cambria Math" w:hAnsi="Cambria Math" w:cs="Cambria Math"/>
        </w:rPr>
      </w:pPr>
      <w:r>
        <w:t xml:space="preserve">Helen </w:t>
      </w:r>
      <w:proofErr w:type="spellStart"/>
      <w:r>
        <w:t>Vendler</w:t>
      </w:r>
      <w:proofErr w:type="spellEnd"/>
      <w:r>
        <w:t xml:space="preserve">, Dickinson: Selected Poems and Commentaries (Belknap Press/Harvard University Press, 2010), p. 322; see my review in these pages, November 25, 2010. </w:t>
      </w:r>
      <w:r>
        <w:rPr>
          <w:rFonts w:ascii="Cambria Math" w:hAnsi="Cambria Math" w:cs="Cambria Math"/>
        </w:rPr>
        <w:t>↩</w:t>
      </w:r>
    </w:p>
    <w:p w:rsidR="00416A9F" w:rsidRDefault="00416A9F" w:rsidP="00416A9F">
      <w:pPr>
        <w:pBdr>
          <w:bottom w:val="single" w:sz="6" w:space="1" w:color="auto"/>
        </w:pBdr>
        <w:rPr>
          <w:rFonts w:ascii="Cambria Math" w:hAnsi="Cambria Math" w:cs="Cambria Math"/>
        </w:rPr>
      </w:pPr>
    </w:p>
    <w:p w:rsidR="00416A9F" w:rsidRDefault="00416A9F" w:rsidP="00416A9F">
      <w:pPr>
        <w:spacing w:after="0"/>
        <w:rPr>
          <w:rFonts w:ascii="Cambria Math" w:hAnsi="Cambria Math" w:cs="Cambria Math"/>
        </w:rPr>
      </w:pPr>
    </w:p>
    <w:p w:rsidR="00416A9F" w:rsidRDefault="00416A9F" w:rsidP="00416A9F">
      <w:pPr>
        <w:spacing w:after="0"/>
      </w:pPr>
      <w:r>
        <w:t>The Captive Aliens Who Remain Our Shame</w:t>
      </w:r>
    </w:p>
    <w:p w:rsidR="00416A9F" w:rsidRDefault="00416A9F" w:rsidP="00416A9F">
      <w:pPr>
        <w:spacing w:after="0"/>
      </w:pPr>
      <w:r>
        <w:t>Annette Gordon-Reed JANUARY 19, 2017 ISSUE</w:t>
      </w:r>
    </w:p>
    <w:p w:rsidR="00416A9F" w:rsidRDefault="00416A9F" w:rsidP="00416A9F">
      <w:pPr>
        <w:spacing w:after="0"/>
      </w:pPr>
      <w:r>
        <w:t>The Common Cause: Creating Race and Nation in the American Revolution</w:t>
      </w:r>
    </w:p>
    <w:p w:rsidR="00416A9F" w:rsidRDefault="00416A9F" w:rsidP="00416A9F">
      <w:pPr>
        <w:spacing w:after="0"/>
      </w:pPr>
      <w:r>
        <w:t>by Robert Parkinson</w:t>
      </w:r>
    </w:p>
    <w:p w:rsidR="00416A9F" w:rsidRDefault="00416A9F" w:rsidP="00416A9F">
      <w:pPr>
        <w:spacing w:after="0"/>
      </w:pPr>
      <w:r>
        <w:t>University of North Carolina Press, 742 pp., $45.00</w:t>
      </w:r>
    </w:p>
    <w:p w:rsidR="00416A9F" w:rsidRDefault="00416A9F" w:rsidP="00416A9F">
      <w:pPr>
        <w:spacing w:after="0"/>
      </w:pPr>
      <w:r>
        <w:t xml:space="preserve">Johannes Adam </w:t>
      </w:r>
      <w:proofErr w:type="spellStart"/>
      <w:r>
        <w:t>Oertel</w:t>
      </w:r>
      <w:proofErr w:type="spellEnd"/>
      <w:r>
        <w:t>: Pulling Down the Statue of King George III, 1848</w:t>
      </w:r>
    </w:p>
    <w:p w:rsidR="00416A9F" w:rsidRDefault="00416A9F" w:rsidP="00416A9F">
      <w:pPr>
        <w:spacing w:after="0"/>
      </w:pPr>
      <w:r>
        <w:t>Collection of the New-York Historical Society</w:t>
      </w:r>
    </w:p>
    <w:p w:rsidR="00416A9F" w:rsidRDefault="00416A9F" w:rsidP="00416A9F">
      <w:pPr>
        <w:spacing w:after="0"/>
      </w:pPr>
      <w:r>
        <w:t xml:space="preserve">Johannes Adam </w:t>
      </w:r>
      <w:proofErr w:type="spellStart"/>
      <w:r>
        <w:t>Oertel</w:t>
      </w:r>
      <w:proofErr w:type="spellEnd"/>
      <w:r>
        <w:t>: Pulling Down the Statue of King George III, 1848</w:t>
      </w:r>
    </w:p>
    <w:p w:rsidR="00416A9F" w:rsidRDefault="00416A9F" w:rsidP="00416A9F">
      <w:r>
        <w:t xml:space="preserve">It is a commonplace that being an American is a matter neither of blood nor of cultural connections forged over time. It is, instead, a commitment to a set of ideals famously laid down by the country’s founders, and refined over generations with a notion of progress as a guiding principle. The Declaration of Independence, with Thomas Jefferson’s soaring language about the equality of mankind and the right </w:t>
      </w:r>
      <w:r>
        <w:lastRenderedPageBreak/>
        <w:t>to “life, liberty and the pursuit of happiness,” is the most powerful statement of those ideals. It is sometimes called America’s “creed.”</w:t>
      </w:r>
    </w:p>
    <w:p w:rsidR="00416A9F" w:rsidRDefault="00416A9F" w:rsidP="00416A9F"/>
    <w:p w:rsidR="00416A9F" w:rsidRDefault="00416A9F" w:rsidP="00416A9F">
      <w:r>
        <w:t>Of course, what it means to be an American is not—has never been—so simple a proposition. Seeing the men most typically described as the “founders” of the United States as sources of inspired ideals equally available to all conflicts with our knowledge of the way most of them saw and treated Native Americans and African-Americans during the founding period. Indeed, for decades now, much of the historiography of the founding has presented a complex story, exploring the many ways in which the Revolution, and the people who made it, fell far short of sharing with all people the Spirit of 1776’s indictment of tyranny and calls for liberty and equality. A good number of the most famous revolutionaries enslaved people, and the ones who did not own slaves chose not to work actively against the institution—even when they recognized that slavery was a great injustice. Some of those same men, eager for westward expansion, talked of removal of Indians whose land would then be taken by white settlers.</w:t>
      </w:r>
    </w:p>
    <w:p w:rsidR="00416A9F" w:rsidRDefault="00416A9F" w:rsidP="00416A9F"/>
    <w:p w:rsidR="00416A9F" w:rsidRDefault="00416A9F" w:rsidP="00416A9F">
      <w:r>
        <w:t>Balancing the tragic aspects of the country’s origins against the triumphant is a tricky business. And some may even question whether a balance should be struck, thinking that either tragedy or triumph so obviously predominates that it is unnecessary, if not foolish or immoral, to do any weighing. But it appears that the more complicated narrative, which now includes blacks and Native Americans, has heightened interest in the founding of the United States. People who may have been frustrated reading histories that failed to acknowledge how the past had worked upon their ancestors—or avoided reading them at all—feel part of a searching conversation. That inquiry almost invariably touches on the extent to which the past influences the present on matters of race, for there is every reason to believe that the basic contours of the country’s treacherous racial landscape were fashioned early on in our history.</w:t>
      </w:r>
    </w:p>
    <w:p w:rsidR="00416A9F" w:rsidRDefault="00416A9F" w:rsidP="00416A9F"/>
    <w:p w:rsidR="00416A9F" w:rsidRDefault="00416A9F" w:rsidP="00416A9F">
      <w:r>
        <w:t xml:space="preserve">There have been many occasions of late to think about these matters. A series of widely reported events involving black people and law enforcement has raised anew the question of exactly what type of citizenship African-Americans possess. That the United States has a race problem is not exactly news. Explorations of this aspect of our culture have produced some of America’s finest fiction and nonfiction over the years. But technology now brings the problem home in urgent and visceral ways. With too great regularity, encounters between blacks and police officers, captured on smartphones, fly across cyberspace, revealing to the world what African-Americans and other people of color have been saying for years: </w:t>
      </w:r>
      <w:proofErr w:type="gramStart"/>
      <w:r>
        <w:t>the</w:t>
      </w:r>
      <w:proofErr w:type="gramEnd"/>
      <w:r>
        <w:t xml:space="preserve"> Constitution does not work for black people as it works for whites.</w:t>
      </w:r>
    </w:p>
    <w:p w:rsidR="00416A9F" w:rsidRDefault="00416A9F" w:rsidP="00416A9F"/>
    <w:p w:rsidR="00416A9F" w:rsidRDefault="00416A9F" w:rsidP="00416A9F">
      <w:r>
        <w:t>Instead of being treated as citizens at liberty in a republic who have the right to be free from tyranny, African-Americans are treated as if the words “liberty” “republic,” and “tyranny” have no application to them. These were some of the words the founders used as they made the case for breaking away from the British Empire and setting up a federal union for the benefit of a newly constituted American citizenry. The policing of black people, in contrast to the treatment of true citizens, too often employs tactics that might be used against a captive alien group living in a country at the sufferance of a dominant community. How did this happen?</w:t>
      </w:r>
    </w:p>
    <w:p w:rsidR="00416A9F" w:rsidRDefault="00416A9F" w:rsidP="00416A9F"/>
    <w:p w:rsidR="00416A9F" w:rsidRDefault="00416A9F" w:rsidP="00416A9F">
      <w:r>
        <w:t>Certainly the institution of slavery, with its plantation rules and slave patrols, helped tell both Americans and the world how blacks living in the United States were, and are, to be seen and treated</w:t>
      </w:r>
      <w:proofErr w:type="gramStart"/>
      <w:r>
        <w:t>—“</w:t>
      </w:r>
      <w:proofErr w:type="gramEnd"/>
      <w:r>
        <w:t xml:space="preserve">plantation to prison” is now a familiar plus </w:t>
      </w:r>
      <w:proofErr w:type="spellStart"/>
      <w:r>
        <w:t>ça</w:t>
      </w:r>
      <w:proofErr w:type="spellEnd"/>
      <w:r>
        <w:t xml:space="preserve"> change remark, linking the black present to the black past. And then there is 1787, when the framers in Philadelphia, seeking to “form a more perfect Union,” ended up creating what the historian David </w:t>
      </w:r>
      <w:proofErr w:type="spellStart"/>
      <w:r>
        <w:t>Waldstreicher</w:t>
      </w:r>
      <w:proofErr w:type="spellEnd"/>
      <w:r>
        <w:t xml:space="preserve"> has called “slavery’s Constitution,” which enshrined racially based slavery in the “supreme law of the land.” What could be a more powerful statement about how people of African descent can be treated?</w:t>
      </w:r>
    </w:p>
    <w:p w:rsidR="00416A9F" w:rsidRDefault="00416A9F" w:rsidP="00416A9F"/>
    <w:p w:rsidR="00416A9F" w:rsidRDefault="00416A9F" w:rsidP="00416A9F">
      <w:r>
        <w:t>Robert Parkinson, in his brilliant, timely, and indispensable book The Common Cause: Creating Race and Nation in the American Revolution, offers a provocative alternative to the conventional views that blacks’ perpetual alien status in the United States is simply a natural outgrowth of having been enslaved, and that making them—and Native Americans—outsiders in the United States was a post-Revolutionary, early-nineteenth-century project. Americans were deciding who was “in” and who was “out” as soon as they began to fight Great Britain.</w:t>
      </w:r>
    </w:p>
    <w:p w:rsidR="00416A9F" w:rsidRDefault="00416A9F" w:rsidP="00416A9F"/>
    <w:p w:rsidR="00416A9F" w:rsidRDefault="00416A9F" w:rsidP="00416A9F">
      <w:r>
        <w:t>Parkinson does not discount slavery’s importance to shaping attitudes about African-Americans. Nor does he deny that the early American republic saw the rise of open calls for a “white man’s government” and the formalized policy of Indian Removal. But he goes back to 1775, when the American Revolution turned into the Revolutionary War, to locate the origins of racial exclusion in the society that would become the United States of America. It was during these days, Parkinson says, that patriot leaders made a fateful choice. They embarked upon a specific and concerted plan to place blacks and Native Americans—no matter what their condition, whether they believed in the patriots’ ideals or not—firmly outside the boundaries of America’s experiment with democratic republicanism.</w:t>
      </w:r>
    </w:p>
    <w:p w:rsidR="00416A9F" w:rsidRDefault="00416A9F" w:rsidP="00416A9F"/>
    <w:p w:rsidR="00416A9F" w:rsidRDefault="00416A9F" w:rsidP="00416A9F">
      <w:r>
        <w:t>“Men like Jefferson, Adams, Franklin, and Washington,” Parkinson writes, “developed a myth about who was and was not a part of the Revolutionary movement; about who had an interest and who did not.” Other esteemed advocates of the Revolution, such as Thomas Paine and the Marquis de Lafayette, joined the effort. According to Parkinson, these men chose to prosecute the American war for independence in a way that put race at the heart of the matter. They used—actually helped foment—racial prejudice as the principal means of creating unity across the thirteen colonies in order to prepare Americans to do battle with Great Britain. The base sentiments they promoted for “political expediency” survived the fighting, and the “narrative” that dismissed blacks and Native peoples as alien to America—and conflated “white” and “citizen”</w:t>
      </w:r>
      <w:proofErr w:type="gramStart"/>
      <w:r>
        <w:t>—“</w:t>
      </w:r>
      <w:proofErr w:type="gramEnd"/>
      <w:r>
        <w:t>lived at the heart of the republic it helped create for decades to come.” It kept both groups from “inclusion as Americans.” Parkinson is blunt about the results of this program:</w:t>
      </w:r>
    </w:p>
    <w:p w:rsidR="00416A9F" w:rsidRDefault="00416A9F" w:rsidP="00416A9F"/>
    <w:p w:rsidR="00416A9F" w:rsidRDefault="00416A9F" w:rsidP="00416A9F">
      <w:r>
        <w:lastRenderedPageBreak/>
        <w:t>This refusal to extend to African Americans and Indians the benefits of emerging concepts of liberal subjectivity in the form of citizenship had ghastly consequences, for it legitimated and excused the destruction of vast numbers of human beings.</w:t>
      </w:r>
    </w:p>
    <w:p w:rsidR="00416A9F" w:rsidRDefault="00416A9F" w:rsidP="00416A9F"/>
    <w:p w:rsidR="00416A9F" w:rsidRDefault="00416A9F" w:rsidP="00416A9F">
      <w:r>
        <w:t>Parkinson writes with authority on military, political, social, and cultural history, reconstructing the story of this critical period as it actually unfolded, with everything happening at once. Instead of picking representative samples, he addresses what was happening across the breadth of the colonies. This makes for a long book, but scholars and readers interested in race and the Revolution will be grateful for all the detail. The Common Cause lays bare the patriots’ activities with such precision that it will be impossible to think seriously about the American Revolutionary War—or the revolutionaries—without reference to this book’s prodigious research, wholly unsentimental perspective, and bracing analysis.</w:t>
      </w:r>
    </w:p>
    <w:p w:rsidR="00416A9F" w:rsidRDefault="00416A9F" w:rsidP="00416A9F"/>
    <w:p w:rsidR="00416A9F" w:rsidRDefault="00416A9F" w:rsidP="00416A9F">
      <w:r>
        <w:t>How is a society persuaded to go to war, and to persist in the face of mounting casualties and all the suffering and dislocations attendant to war? This was a particularly vexing question for the proponents of war with Great Britain in the 1770s who, if they were to have any chance of success against the most powerful nation on earth, had to find a way to make thirteen separate societies act as one. Parkinson reminds us:</w:t>
      </w:r>
    </w:p>
    <w:p w:rsidR="00416A9F" w:rsidRDefault="00416A9F" w:rsidP="00416A9F"/>
    <w:p w:rsidR="00416A9F" w:rsidRDefault="00416A9F" w:rsidP="00416A9F">
      <w:r>
        <w:t>Jealousies, rivalries, and even violent controversies alienated the colonies in the early 1770s. Border conflicts, religious disputes, and concerns about slavery drove them apart. The colonies were just as poised to attack one another as to join together on the eve of war. The near impossibility of getting the colonies to agree to oppose Great Britain with one voice meant compromises on the most divisive issues on the one hand, and creative storytelling on the other….</w:t>
      </w:r>
    </w:p>
    <w:p w:rsidR="00416A9F" w:rsidRDefault="00416A9F" w:rsidP="00416A9F"/>
    <w:p w:rsidR="00416A9F" w:rsidRDefault="00416A9F" w:rsidP="00416A9F">
      <w:r>
        <w:t>The leaders of that movement had to craft an appeal that simultaneously overcame some of those inherent fault lines and jealousies, neutralized their opponents’ claims, and made them the only true protectors of freedom. They needed to make what they called “the cause” common.</w:t>
      </w:r>
    </w:p>
    <w:p w:rsidR="00416A9F" w:rsidRDefault="00416A9F" w:rsidP="00416A9F"/>
    <w:p w:rsidR="00416A9F" w:rsidRDefault="00416A9F" w:rsidP="00416A9F">
      <w:r>
        <w:t>At left, a black soldier in the Yorktown campaign; detail of a sketch by Jean Baptiste Antoine de Verger, circa 1781</w:t>
      </w:r>
    </w:p>
    <w:p w:rsidR="00416A9F" w:rsidRDefault="00416A9F" w:rsidP="00416A9F">
      <w:r>
        <w:t>Anne S.K. Brown Military Collection, Brown University Library</w:t>
      </w:r>
    </w:p>
    <w:p w:rsidR="00416A9F" w:rsidRDefault="00416A9F" w:rsidP="00416A9F">
      <w:r>
        <w:t>At left, a black soldier in the Yorktown campaign; detail of a sketch by Jean Baptiste Antoine de Verger, circa 1781</w:t>
      </w:r>
    </w:p>
    <w:p w:rsidR="00416A9F" w:rsidRDefault="00416A9F" w:rsidP="00416A9F">
      <w:r>
        <w:t xml:space="preserve">American colonials were familiar with the phrase “common cause” from two traditions. Protestants used it to exhort the faithful to stand against other denominations and religions, and British monarchs spoke of the “common cause” in annual messages describing the empire’s participation in one or another military contest—messages that were then printed in colonial newspapers. It signaled that </w:t>
      </w:r>
      <w:r>
        <w:lastRenderedPageBreak/>
        <w:t>something important was at stake and, at the same time, created an inside “us” versus an outside “them.” Delineating a common cause—protecting the colonies against alleged overreaching by the British government as it made various imperial reforms—was a necessary first step in the process of binding the colonies to one another. A crucial question would be how to figure out who was the “us” in this formulation and who was to be designated “them.”</w:t>
      </w:r>
    </w:p>
    <w:p w:rsidR="00416A9F" w:rsidRDefault="00416A9F" w:rsidP="00416A9F"/>
    <w:p w:rsidR="00416A9F" w:rsidRDefault="00416A9F" w:rsidP="00416A9F">
      <w:r>
        <w:t>The patriot leader John Adams perhaps has been the most influential voice in shaping the historical view of how the colonies came to make common cause with one another. His words on the subject have echoed through the years, influencing scholarly and popular conceptions of the Revolution and the war:</w:t>
      </w:r>
    </w:p>
    <w:p w:rsidR="00416A9F" w:rsidRDefault="00416A9F" w:rsidP="00416A9F"/>
    <w:p w:rsidR="00416A9F" w:rsidRDefault="00416A9F" w:rsidP="00416A9F">
      <w:r>
        <w:t>The complete accomplishment of [uniting the colonies], in so short a time and by such simple means, was perhaps a singular example in the history of mankind. Thirteen clocks were made to strike together—a perfection of mechanism, which no artist has ever before effected.</w:t>
      </w:r>
    </w:p>
    <w:p w:rsidR="00416A9F" w:rsidRDefault="00416A9F" w:rsidP="00416A9F"/>
    <w:p w:rsidR="00416A9F" w:rsidRDefault="00416A9F" w:rsidP="00416A9F">
      <w:r>
        <w:t>The image of “thirteen clocks” striking all at once is poetic, to be sure. It captures both the autonomy of the colonies (each its own clock) and the uncanny nature of the unity achieved once they came to believe their “cause” against Great Britain was “common.” It does not, however, tell us exactly how they came to “strike” together. It was as if the concerns about taxation, representation, and British tyranny made it self-evident why the colonies ended up in an armed conflict with their cousins across the sea. Parkinson convincingly demonstrates that the clocks did not strike at once all on their own. Patriot leaders, Adams among them, were setting the clocks to ensure they struck as near together as possible.</w:t>
      </w:r>
    </w:p>
    <w:p w:rsidR="00416A9F" w:rsidRDefault="00416A9F" w:rsidP="00416A9F"/>
    <w:p w:rsidR="00416A9F" w:rsidRDefault="00416A9F" w:rsidP="00416A9F">
      <w:r>
        <w:t xml:space="preserve">In a late-in-life missive to Thomas Jefferson, Adams drew a distinction between the American Revolution and “the war” that “was no part of the Revolution.” “The Revolution,” Adams insisted, “was in the Minds of the People, and this was effected, from 1760 to 1775.” While “a sea </w:t>
      </w:r>
      <w:proofErr w:type="gramStart"/>
      <w:r>
        <w:t>change</w:t>
      </w:r>
      <w:proofErr w:type="gramEnd"/>
      <w:r>
        <w:t xml:space="preserve"> in the attitudes of many colonists toward Britain and the empire” did take place within the period Adams set out, the American Revolution was far from complete in 1775. As they pushed out the British, the Americans were actively creating, in their minds and in practice, the world that would exist once the British were gone. Situating the Revolution in the mind privileges the abstract ideals associated with the Spirit of 1776, diverting our attention from the interplay between thought and action—that is to say the ideological justifications for starting the Revolution and prosecution of the war that made the Revolution successful.</w:t>
      </w:r>
    </w:p>
    <w:p w:rsidR="00416A9F" w:rsidRDefault="00416A9F" w:rsidP="00416A9F"/>
    <w:p w:rsidR="00416A9F" w:rsidRDefault="00416A9F" w:rsidP="00416A9F">
      <w:r>
        <w:t>After Lexington and Concord, Parkinson writes, “the patriots needed a new script to animate a new kind of resistance. They needed war stories.” The war stories the patriots told, and in some cases declined to tell, “made republican policies of exclusion possible by supplying patriotic ammunition for attacking Indians and expanding west” and gave “rhetorical cover for those who sought to deepen and extend the slave system.” The common cause narrative thus buried “race deep in the political structure of the new republic.”</w:t>
      </w:r>
    </w:p>
    <w:p w:rsidR="00416A9F" w:rsidRDefault="00416A9F" w:rsidP="00416A9F"/>
    <w:p w:rsidR="00416A9F" w:rsidRDefault="00416A9F" w:rsidP="00416A9F">
      <w:r>
        <w:t>Effective war stories were definitely required because despite the colonists’ complaints about tyranny and being reduced to—of all things</w:t>
      </w:r>
      <w:proofErr w:type="gramStart"/>
      <w:r>
        <w:t>—“</w:t>
      </w:r>
      <w:proofErr w:type="gramEnd"/>
      <w:r>
        <w:t>slavery,” they were “the least taxed, most socially mobile, highest landowning, arguably most prosperous people in the western world.” Convincing a critical mass of this population to believe their lives were so miserable that they had to take up arms to fight their so-called oppressors required a very good story, indeed. Eloquent words about abstract rights would not do. History has taught the sad lesson that fear and contempt are the most predictably powerful motivators for galvanizing one group to move against another. The same was true for the American colonists with regard to their “cultural cousins.” Leaders of the movement “had to destroy as much of the public’s affection for their ancestors as they could.”</w:t>
      </w:r>
    </w:p>
    <w:p w:rsidR="00416A9F" w:rsidRDefault="00416A9F" w:rsidP="00416A9F"/>
    <w:p w:rsidR="00416A9F" w:rsidRDefault="00416A9F" w:rsidP="00416A9F">
      <w:r>
        <w:t>It was essential, Parkinson argues,</w:t>
      </w:r>
    </w:p>
    <w:p w:rsidR="00416A9F" w:rsidRDefault="00416A9F" w:rsidP="00416A9F"/>
    <w:p w:rsidR="00416A9F" w:rsidRDefault="00416A9F" w:rsidP="00416A9F">
      <w:r>
        <w:t>to demonstrate that the British were strangers. Suspicious foreigners. To accomplish this vital, difficult task they embraced the most powerful weapons in the colonial arsenal: stereotypes, prejudices, expectations, and fears about violent Indians and Africans.</w:t>
      </w:r>
    </w:p>
    <w:p w:rsidR="00416A9F" w:rsidRDefault="00416A9F" w:rsidP="00416A9F"/>
    <w:p w:rsidR="00416A9F" w:rsidRDefault="00416A9F" w:rsidP="00416A9F">
      <w:r>
        <w:t>They tied blacks and Indians and, for a time, Hessian mercenaries to George III, labeling them as his “proxies.” They were all to be considered “strangers,” even though blacks (enslaved and free) had lived among white Americans for years and, in spite of the many conflicts with Native peoples, whites and Indians did not only meet in battles. They were not unknown to one another. British overtures to Indians and blacks were, according to Benjamin Franklin, enough to “dissolve all Allegiance” with the Mother Country.</w:t>
      </w:r>
    </w:p>
    <w:p w:rsidR="00416A9F" w:rsidRDefault="00416A9F" w:rsidP="00416A9F"/>
    <w:p w:rsidR="00416A9F" w:rsidRDefault="00416A9F" w:rsidP="00416A9F">
      <w:r>
        <w:t>Franklin made up stories about groups being used by the British—proxies—and worked with Lafayette to prepare a book (never published) with illustrations for “children and Posterity” detailing British abuses of Americans. Of the twenty-six proposed illustrations—we have Franklin’s suggested twenty and Lafayette’s six in their own hands—many revolve around proxies. Lafayette suggested an illustration showing “prisoners being ‘Roasted for a great festival where the Canadian Indians are eating American flesh.’” He also proposed a scene depicting “British officers” taking the “opportunity of corrupting Negroes and Engaging them to desert from the house, to Robb, and even to Murder they [sic] Masters.” Britain’s military mercenaries, the Hessians, were not depicted. Americans today often speak of racial prejudice as a thing that simply exists—like air—with no nod to the actual work it takes to create and maintain systems based upon prejudice. Parkinson homes in on that work: what it took in the 1770s to stoke racial hostility and keep it in place.</w:t>
      </w:r>
    </w:p>
    <w:p w:rsidR="00416A9F" w:rsidRDefault="00416A9F" w:rsidP="00416A9F"/>
    <w:p w:rsidR="00416A9F" w:rsidRDefault="00416A9F" w:rsidP="00416A9F">
      <w:r>
        <w:t xml:space="preserve">Patriot leaders helped spread the racially based narrative of a common cause through newspapers, the “most advanced method of communication of the age.” They planted stories and supplied letters and </w:t>
      </w:r>
      <w:r>
        <w:lastRenderedPageBreak/>
        <w:t xml:space="preserve">other documents to make the case. This material was not placed on the front pages, which were directed at “elite colonists”—containing political and cultural writings—or the back pages, which carried advertisements. It was placed in “the interior of the newspaper[s], where the bulk of the actual news appeared,” a place, Parkinson argues, that has received insufficient attention from historians of the Revolution. These pages were made up of reports gathered through the newspaper exchange system by which publications shared news of events in cities and towns throughout the colonies. Before the Revolution, they were filled with stories from “the eastern side of the Atlantic.” Once the Revolution and the war started, the exchanges were nearly always concerned with </w:t>
      </w:r>
      <w:proofErr w:type="spellStart"/>
      <w:r>
        <w:t>intercolony</w:t>
      </w:r>
      <w:proofErr w:type="spellEnd"/>
      <w:r>
        <w:t xml:space="preserve"> affairs.</w:t>
      </w:r>
    </w:p>
    <w:p w:rsidR="00416A9F" w:rsidRDefault="00416A9F" w:rsidP="00416A9F"/>
    <w:p w:rsidR="00416A9F" w:rsidRDefault="00416A9F" w:rsidP="00416A9F">
      <w:r>
        <w:t xml:space="preserve">The importance of these papers for “propagating” the common cause was clear from the </w:t>
      </w:r>
      <w:proofErr w:type="gramStart"/>
      <w:r>
        <w:t>start.*</w:t>
      </w:r>
      <w:proofErr w:type="gramEnd"/>
      <w:r>
        <w:t xml:space="preserve"> By “the summer of 1775,” the “majority” of the stories on the inside of colonial newspapers were about “the role African Americans and Indians might play in the burgeoning war.” While historians have focused much attention on George Washington’s going to Cambridge to head the Continental Army, the real story of 1775, Parkinson says, was the “hundreds of smaller messages” that were pushed through colonial newspapers about the threat that blacks and Indians, allegedly under the total control of the British, posed to patriot lives. These messages continued throughout the war.</w:t>
      </w:r>
    </w:p>
    <w:p w:rsidR="00416A9F" w:rsidRDefault="00416A9F" w:rsidP="00416A9F"/>
    <w:p w:rsidR="00416A9F" w:rsidRDefault="00416A9F" w:rsidP="00416A9F">
      <w:r>
        <w:t>The patriots did have cause for concern about some blacks and Indians. Many enslaved people saw the war as an opportunity to gain their freedom, while many free blacks saw fighting in the war on the American side as a way to prove their patriotism. Great books have been written about these men, which Parkinson duly acknowledges. The offer of Lord Dunmore, governor of Virginia, to free men enslaved by patriots in return for their military service inflamed white colonists and brought scores of blacks to the British side. And some Native Americans, long accustomed to playing European power politics, sided with the British. Patriot leaders “worked assiduously to make this the foundation of why colonists should support resistance [to the British] and, eventually, independence.” They did so despite the fact that other blacks and Indians fought alongside white patriots, and more would have done so had the patriots been willing to put more of them in uniform.</w:t>
      </w:r>
    </w:p>
    <w:p w:rsidR="00416A9F" w:rsidRDefault="00416A9F" w:rsidP="00416A9F"/>
    <w:p w:rsidR="00416A9F" w:rsidRDefault="00416A9F" w:rsidP="00416A9F">
      <w:r>
        <w:t>Parkinson shows, however, that the newspapers did not circulate stories about black and Indian patriots:</w:t>
      </w:r>
    </w:p>
    <w:p w:rsidR="00416A9F" w:rsidRDefault="00416A9F" w:rsidP="00416A9F"/>
    <w:p w:rsidR="00416A9F" w:rsidRDefault="00416A9F" w:rsidP="00416A9F">
      <w:r>
        <w:t>Unless Americans watched the army march by, they had scarcely any idea that there were hundreds of African Americans and Indian soldiers serving under Washington’s command. Even though the Continental Army would be the most integrated army the United States would field until the Vietnam War, most Americans had little knowledge of their service in fighting for the common cause.</w:t>
      </w:r>
    </w:p>
    <w:p w:rsidR="00416A9F" w:rsidRDefault="00416A9F" w:rsidP="00416A9F"/>
    <w:p w:rsidR="00416A9F" w:rsidRDefault="00416A9F" w:rsidP="00416A9F">
      <w:r>
        <w:t>Items about blacks acting as soldiers in the British army and of Indian massacres (often in retaliation for massacres committed by whites) were regularly reported, and some of the stories about the Indians’ depredations were hoaxes.</w:t>
      </w:r>
    </w:p>
    <w:p w:rsidR="00416A9F" w:rsidRDefault="00416A9F" w:rsidP="00416A9F"/>
    <w:p w:rsidR="00416A9F" w:rsidRDefault="00416A9F" w:rsidP="00416A9F">
      <w:r>
        <w:t>There was no sorting of African-Americans and Indians into “good” or “bad.” Members of those groups could never be “good” no matter what they did, because they could never be white. Things were different for the Hessian mercenaries, also hated as “proxies.” Feared and reviled in the newspapers as “men monsters” when they arrived in America, the tune about the Hessians changed during the war. After Washington soundly defeated them at the Battle of Trenton, these white men were gradually transformed into sympathetic victims of the British. Eventually they were offered permanent places—land—in the new country they had tried to prevent from coming into being. There would be no redemption for their fellow “proxies.” Nor could the patriots undo what they had done in marking blacks and Indians “as alien” and “unfit to fully belong as members of the new republic.”</w:t>
      </w:r>
    </w:p>
    <w:p w:rsidR="00416A9F" w:rsidRDefault="00416A9F" w:rsidP="00416A9F"/>
    <w:p w:rsidR="00416A9F" w:rsidRDefault="00416A9F" w:rsidP="00416A9F">
      <w:r>
        <w:t xml:space="preserve">If Americans know how the patriots’ rhetoric of the common cause exploited fears about the “proxies” of George III, it is likely because of Jefferson’s recitation, at the end of the Declaration of Independence, of the monarch’s “long train of abuses.” These included “transporting large Armies of foreign Mercenaries to </w:t>
      </w:r>
      <w:proofErr w:type="spellStart"/>
      <w:r>
        <w:t>compleat</w:t>
      </w:r>
      <w:proofErr w:type="spellEnd"/>
      <w:r>
        <w:t xml:space="preserve"> the works of death,” inciting “domestic insurrections amongst us,” and endeavoring “to bring on the inhabitants of our frontiers, the merciless Indian Savages.” Parkinson sees that language, and the other grievances, as central to the patriots’ cause. In his view,</w:t>
      </w:r>
    </w:p>
    <w:p w:rsidR="00416A9F" w:rsidRDefault="00416A9F" w:rsidP="00416A9F"/>
    <w:p w:rsidR="00416A9F" w:rsidRDefault="00416A9F" w:rsidP="00416A9F">
      <w:r>
        <w:t>the Declaration was an effort to draw a line between friends and enemies, between “us” and “them”—or…between “we” [the Americans] and “he” [the King].</w:t>
      </w:r>
    </w:p>
    <w:p w:rsidR="00416A9F" w:rsidRDefault="00416A9F" w:rsidP="00416A9F"/>
    <w:p w:rsidR="00416A9F" w:rsidRDefault="00416A9F" w:rsidP="00416A9F">
      <w:r>
        <w:t>It is the “first assertion of an ‘American people.’”</w:t>
      </w:r>
    </w:p>
    <w:p w:rsidR="00416A9F" w:rsidRDefault="00416A9F" w:rsidP="00416A9F"/>
    <w:p w:rsidR="00416A9F" w:rsidRDefault="00416A9F" w:rsidP="00416A9F">
      <w:r>
        <w:t>While the language of grievance was central to the patriots’ cause, that is not the language that has moved generations the world over:</w:t>
      </w:r>
    </w:p>
    <w:p w:rsidR="00416A9F" w:rsidRDefault="00416A9F" w:rsidP="00416A9F"/>
    <w:p w:rsidR="00416A9F" w:rsidRDefault="00416A9F" w:rsidP="00416A9F">
      <w:r>
        <w:t>We hold these truths to be self-evident, that all men are created equal, that they are endowed by their Creator with certain unalienable Rights, that among these are Life, Liberty and the pursuit of Happiness.</w:t>
      </w:r>
    </w:p>
    <w:p w:rsidR="00416A9F" w:rsidRDefault="00416A9F" w:rsidP="00416A9F"/>
    <w:p w:rsidR="00416A9F" w:rsidRDefault="00416A9F" w:rsidP="00416A9F">
      <w:r>
        <w:t xml:space="preserve">Parkinson insists that “the most important two words in the Declaration are not about equality or happiness.” The most important words are “he” and “we,” speaking of King George and the American people, the opposing forces to which the common cause addressed itself. But that is true only if the Declaration is, as some originalists and </w:t>
      </w:r>
      <w:proofErr w:type="spellStart"/>
      <w:r>
        <w:t>textualists</w:t>
      </w:r>
      <w:proofErr w:type="spellEnd"/>
      <w:r>
        <w:t xml:space="preserve"> say of the United States Constitution, a “dead” thing that can only bear the meaning given by the people who wrote it, and we can never move beyond their intentions—and their limitations.</w:t>
      </w:r>
    </w:p>
    <w:p w:rsidR="00416A9F" w:rsidRDefault="00416A9F" w:rsidP="00416A9F"/>
    <w:p w:rsidR="00416A9F" w:rsidRDefault="00416A9F" w:rsidP="00416A9F">
      <w:r>
        <w:lastRenderedPageBreak/>
        <w:t>Whatever one wants to believe about the Constitution, the course of American history shows that the Declaration is alive. Seeing the document’s pronouncements about equality and happiness as living and important—as our guiding light to progress—offers the best chance we have of vanquishing the continuing effects of the mischief Parkinson so ably describes in his very important book.</w:t>
      </w:r>
    </w:p>
    <w:p w:rsidR="00416A9F" w:rsidRDefault="00416A9F" w:rsidP="00416A9F"/>
    <w:p w:rsidR="00416A9F" w:rsidRDefault="00416A9F" w:rsidP="00416A9F">
      <w:r>
        <w:t>*</w:t>
      </w:r>
    </w:p>
    <w:p w:rsidR="00416A9F" w:rsidRDefault="00416A9F" w:rsidP="00416A9F">
      <w:r>
        <w:t xml:space="preserve">Parkinson declines to call their actions “propaganda,” as the word was “unknown to late-eighteenth-century colonists” and is too laden with twentieth-century associations. </w:t>
      </w:r>
      <w:r>
        <w:rPr>
          <w:rFonts w:ascii="Cambria Math" w:hAnsi="Cambria Math" w:cs="Cambria Math"/>
        </w:rPr>
        <w:t>↩</w:t>
      </w:r>
    </w:p>
    <w:sectPr w:rsidR="00416A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9F"/>
    <w:rsid w:val="00043750"/>
    <w:rsid w:val="001D71F0"/>
    <w:rsid w:val="00203063"/>
    <w:rsid w:val="00411C5D"/>
    <w:rsid w:val="00416A9F"/>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09B5B"/>
  <w15:chartTrackingRefBased/>
  <w15:docId w15:val="{C013DF2C-8517-4A67-B1DC-09517F3F6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6661</Words>
  <Characters>37972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2017-01-16T17:09:00Z</dcterms:created>
  <dcterms:modified xsi:type="dcterms:W3CDTF">2017-01-16T17:14:00Z</dcterms:modified>
</cp:coreProperties>
</file>