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AF" w:rsidRDefault="006617AF" w:rsidP="006617AF">
      <w:r>
        <w:t>The Brutal Dreams That Came True</w:t>
      </w:r>
    </w:p>
    <w:p w:rsidR="006617AF" w:rsidRDefault="006617AF" w:rsidP="006617AF">
      <w:r>
        <w:t>Martin Filler DECEMBER 22, 2016 ISSUE</w:t>
      </w:r>
    </w:p>
    <w:p w:rsidR="006617AF" w:rsidRDefault="006617AF" w:rsidP="006617AF">
      <w:r>
        <w:t>Concrete Concept: Brutalist Buildings Around the World</w:t>
      </w:r>
    </w:p>
    <w:p w:rsidR="006617AF" w:rsidRDefault="006617AF" w:rsidP="006617AF">
      <w:r>
        <w:t xml:space="preserve">by Christopher </w:t>
      </w:r>
      <w:proofErr w:type="spellStart"/>
      <w:r>
        <w:t>Beanland</w:t>
      </w:r>
      <w:proofErr w:type="spellEnd"/>
    </w:p>
    <w:p w:rsidR="006617AF" w:rsidRDefault="006617AF" w:rsidP="006617AF">
      <w:r>
        <w:t>London: Frances Lincoln, 192 pp., $30.00</w:t>
      </w:r>
    </w:p>
    <w:p w:rsidR="006617AF" w:rsidRDefault="006617AF" w:rsidP="006617AF">
      <w:r>
        <w:t>Brutalism Resurgent</w:t>
      </w:r>
    </w:p>
    <w:p w:rsidR="006617AF" w:rsidRDefault="006617AF" w:rsidP="006617AF">
      <w:r>
        <w:t xml:space="preserve">edited by Julia </w:t>
      </w:r>
      <w:proofErr w:type="spellStart"/>
      <w:r>
        <w:t>Gatley</w:t>
      </w:r>
      <w:proofErr w:type="spellEnd"/>
      <w:r>
        <w:t xml:space="preserve"> and Stuart King</w:t>
      </w:r>
    </w:p>
    <w:p w:rsidR="006617AF" w:rsidRDefault="006617AF" w:rsidP="006617AF">
      <w:r>
        <w:t>Routledge, 145 pp., $155.00</w:t>
      </w:r>
    </w:p>
    <w:p w:rsidR="006617AF" w:rsidRDefault="006617AF" w:rsidP="006617AF">
      <w:r>
        <w:t>This Brutal World</w:t>
      </w:r>
    </w:p>
    <w:p w:rsidR="006617AF" w:rsidRDefault="006617AF" w:rsidP="006617AF">
      <w:r>
        <w:t>by Peter Chadwick</w:t>
      </w:r>
    </w:p>
    <w:p w:rsidR="006617AF" w:rsidRDefault="006617AF" w:rsidP="006617AF">
      <w:proofErr w:type="spellStart"/>
      <w:r>
        <w:t>Phaidon</w:t>
      </w:r>
      <w:proofErr w:type="spellEnd"/>
      <w:r>
        <w:t>, 224 pp., $49.95</w:t>
      </w:r>
    </w:p>
    <w:p w:rsidR="006617AF" w:rsidRDefault="006617AF" w:rsidP="006617AF">
      <w:r>
        <w:t>Raw Concrete: The Beauty of Brutalism</w:t>
      </w:r>
    </w:p>
    <w:p w:rsidR="006617AF" w:rsidRDefault="006617AF" w:rsidP="006617AF">
      <w:r>
        <w:t>by Barnabas Calder</w:t>
      </w:r>
    </w:p>
    <w:p w:rsidR="006617AF" w:rsidRDefault="006617AF" w:rsidP="006617AF">
      <w:r>
        <w:t>London: Heinemann, 406 pp., £25.00</w:t>
      </w:r>
    </w:p>
    <w:p w:rsidR="006617AF" w:rsidRDefault="006617AF" w:rsidP="006617AF">
      <w:r>
        <w:t>Heroic: Concrete Architecture and the New Boston</w:t>
      </w:r>
    </w:p>
    <w:p w:rsidR="006617AF" w:rsidRDefault="006617AF" w:rsidP="006617AF">
      <w:r>
        <w:t xml:space="preserve">by Mark </w:t>
      </w:r>
      <w:proofErr w:type="spellStart"/>
      <w:r>
        <w:t>Pasnik</w:t>
      </w:r>
      <w:proofErr w:type="spellEnd"/>
      <w:r>
        <w:t xml:space="preserve">, Michael Kubo, and Chris </w:t>
      </w:r>
      <w:proofErr w:type="spellStart"/>
      <w:r>
        <w:t>Grimley</w:t>
      </w:r>
      <w:proofErr w:type="spellEnd"/>
    </w:p>
    <w:p w:rsidR="006617AF" w:rsidRDefault="006617AF" w:rsidP="006617AF">
      <w:proofErr w:type="spellStart"/>
      <w:r>
        <w:t>Monacelli</w:t>
      </w:r>
      <w:proofErr w:type="spellEnd"/>
      <w:r>
        <w:t>, 335 pp., $50.00</w:t>
      </w:r>
    </w:p>
    <w:p w:rsidR="006617AF" w:rsidRDefault="006617AF" w:rsidP="006617AF">
      <w:r>
        <w:t>Space, Hope, and Brutalism: English Architecture, 1945–1975</w:t>
      </w:r>
    </w:p>
    <w:p w:rsidR="006617AF" w:rsidRDefault="006617AF" w:rsidP="006617AF">
      <w:r>
        <w:t>by Elain Harwood, with photographs by James O. Davies</w:t>
      </w:r>
    </w:p>
    <w:p w:rsidR="006617AF" w:rsidRDefault="006617AF" w:rsidP="006617AF">
      <w:r>
        <w:t>Paul Mellon Center for Studies in British Art/Yale University Press/Historic England, 703 pp., $125.00</w:t>
      </w:r>
    </w:p>
    <w:p w:rsidR="006617AF" w:rsidRDefault="006617AF" w:rsidP="006617AF">
      <w:r>
        <w:t>Brutalist London Map</w:t>
      </w:r>
    </w:p>
    <w:p w:rsidR="006617AF" w:rsidRDefault="006617AF" w:rsidP="006617AF">
      <w:r>
        <w:t>by Henrietta Billings, with photographs by Simon Phipps</w:t>
      </w:r>
    </w:p>
    <w:p w:rsidR="006617AF" w:rsidRDefault="006617AF" w:rsidP="006617AF">
      <w:r>
        <w:t>London: Blue Crow Media, £8.00 (paper)</w:t>
      </w:r>
    </w:p>
    <w:p w:rsidR="006617AF" w:rsidRDefault="006617AF" w:rsidP="006617AF">
      <w:r>
        <w:t xml:space="preserve">Toronto City Hall and Nathan Phillips Square, designed by </w:t>
      </w:r>
      <w:proofErr w:type="spellStart"/>
      <w:r>
        <w:t>Viljo</w:t>
      </w:r>
      <w:proofErr w:type="spellEnd"/>
      <w:r>
        <w:t xml:space="preserve"> </w:t>
      </w:r>
      <w:proofErr w:type="spellStart"/>
      <w:r>
        <w:t>Revell</w:t>
      </w:r>
      <w:proofErr w:type="spellEnd"/>
      <w:r>
        <w:t xml:space="preserve">, 1958–1965; from Christopher </w:t>
      </w:r>
      <w:proofErr w:type="spellStart"/>
      <w:r>
        <w:t>Beanland’s</w:t>
      </w:r>
      <w:proofErr w:type="spellEnd"/>
      <w:r>
        <w:t xml:space="preserve"> Concrete Concept: Brutalist Buildings Around the World</w:t>
      </w:r>
    </w:p>
    <w:p w:rsidR="006617AF" w:rsidRDefault="006617AF" w:rsidP="006617AF">
      <w:proofErr w:type="spellStart"/>
      <w:r>
        <w:t>Nikhilesh</w:t>
      </w:r>
      <w:proofErr w:type="spellEnd"/>
      <w:r>
        <w:t xml:space="preserve"> </w:t>
      </w:r>
      <w:proofErr w:type="spellStart"/>
      <w:r>
        <w:t>Haval</w:t>
      </w:r>
      <w:proofErr w:type="spellEnd"/>
      <w:r>
        <w:t xml:space="preserve">/Age </w:t>
      </w:r>
      <w:proofErr w:type="spellStart"/>
      <w:r>
        <w:t>Fotostock</w:t>
      </w:r>
      <w:proofErr w:type="spellEnd"/>
    </w:p>
    <w:p w:rsidR="006617AF" w:rsidRDefault="006617AF" w:rsidP="006617AF">
      <w:r>
        <w:t xml:space="preserve">Toronto City Hall and Nathan Phillips Square, designed by </w:t>
      </w:r>
      <w:proofErr w:type="spellStart"/>
      <w:r>
        <w:t>Viljo</w:t>
      </w:r>
      <w:proofErr w:type="spellEnd"/>
      <w:r>
        <w:t xml:space="preserve"> </w:t>
      </w:r>
      <w:proofErr w:type="spellStart"/>
      <w:r>
        <w:t>Revell</w:t>
      </w:r>
      <w:proofErr w:type="spellEnd"/>
      <w:r>
        <w:t xml:space="preserve">, 1958–1965; from Christopher </w:t>
      </w:r>
      <w:proofErr w:type="spellStart"/>
      <w:r>
        <w:t>Beanland’s</w:t>
      </w:r>
      <w:proofErr w:type="spellEnd"/>
      <w:r>
        <w:t xml:space="preserve"> Concrete Concept: Brutalist Buildings Around the World</w:t>
      </w:r>
    </w:p>
    <w:p w:rsidR="006617AF" w:rsidRDefault="006617AF" w:rsidP="006617AF">
      <w:r>
        <w:t>1.</w:t>
      </w:r>
    </w:p>
    <w:p w:rsidR="006617AF" w:rsidRDefault="006617AF" w:rsidP="006617AF"/>
    <w:p w:rsidR="006617AF" w:rsidRDefault="006617AF" w:rsidP="006617AF">
      <w:r>
        <w:t xml:space="preserve">Literature that takes a wistful backward glance at the outmoded manners and mores of the previous forty or fifty years—most famously Proust’s À la </w:t>
      </w:r>
      <w:proofErr w:type="spellStart"/>
      <w:r>
        <w:t>recherche</w:t>
      </w:r>
      <w:proofErr w:type="spellEnd"/>
      <w:r>
        <w:t xml:space="preserve"> du temps perdu—has a direct parallel in architecture. Time and again we have seen reawakened interest in the disdained buildings of two generations earlier, a span still within living memory but not quite yet history. For example, Oxford aesthetes of the 1920s (a coterie that included John Betjeman, </w:t>
      </w:r>
      <w:proofErr w:type="spellStart"/>
      <w:r>
        <w:t>Osbert</w:t>
      </w:r>
      <w:proofErr w:type="spellEnd"/>
      <w:r>
        <w:t xml:space="preserve"> Lancaster, and Evelyn Waugh) discovered new charm in ornate Victorian monuments that their parents’ contemporaries dismissed as eyesores. The bizarre, </w:t>
      </w:r>
      <w:proofErr w:type="spellStart"/>
      <w:r>
        <w:t>protopsychedelic</w:t>
      </w:r>
      <w:proofErr w:type="spellEnd"/>
      <w:r>
        <w:t xml:space="preserve"> fantasies of the Catalan outlier Antoni </w:t>
      </w:r>
      <w:proofErr w:type="spellStart"/>
      <w:r>
        <w:t>Gaudí</w:t>
      </w:r>
      <w:proofErr w:type="spellEnd"/>
      <w:r>
        <w:t xml:space="preserve"> emerged from a half-century of oblivion in the 1960s and enthralled an international counterculture. And the 1970s saw a new vogue for the jazzy modernistic riffs of Art Deco, which the mandarin tastemakers Alfred H. Barr Jr. and Philip Johnson in 1932 banned from their new Museum of Modern Art architecture and design department as populist kitsch.</w:t>
      </w:r>
    </w:p>
    <w:p w:rsidR="006617AF" w:rsidRDefault="006617AF" w:rsidP="006617AF"/>
    <w:p w:rsidR="006617AF" w:rsidRDefault="006617AF" w:rsidP="006617AF">
      <w:r>
        <w:t xml:space="preserve">Now, with almost clockwork inevitability, several new books indicate that the rehabilitation of yet another once-reviled phase in the building art is underway. The architecture in question is an industrial aesthetic that arose in postwar Britain and was dubbed New Brutalism, a semi-ironic, quasi-pejorative label on the order of Gothic (which implied the barbarism of the Goths) and Baroque (from the Portuguese word for a misshapen pearl). The Swedish architect Hans </w:t>
      </w:r>
      <w:proofErr w:type="spellStart"/>
      <w:r>
        <w:t>Asplund</w:t>
      </w:r>
      <w:proofErr w:type="spellEnd"/>
      <w:r>
        <w:t xml:space="preserve"> coined the term </w:t>
      </w:r>
      <w:proofErr w:type="spellStart"/>
      <w:r>
        <w:t>nybrutalism</w:t>
      </w:r>
      <w:proofErr w:type="spellEnd"/>
      <w:r>
        <w:t xml:space="preserve"> in 1949, and four years later it was used for the first time in the British </w:t>
      </w:r>
      <w:proofErr w:type="gramStart"/>
      <w:r>
        <w:t>journal</w:t>
      </w:r>
      <w:proofErr w:type="gramEnd"/>
      <w:r>
        <w:t xml:space="preserve"> Architectural Design. There the wife-and-husband architects Alison and Peter Smithson wrote that an unexecuted house of theirs would have had “no finishes at all internally, the building being a combination of shelter and environment. Bare brick, concrete, and wood…had this been built, it would have been the first exponent of the New Brutalism in England.”</w:t>
      </w:r>
    </w:p>
    <w:p w:rsidR="006617AF" w:rsidRDefault="006617AF" w:rsidP="006617AF"/>
    <w:p w:rsidR="006617AF" w:rsidRDefault="006617AF" w:rsidP="006617AF">
      <w:r>
        <w:t xml:space="preserve">In addition to its echoes of art brut—Jean Dubuffet’s name for outsider art—New Brutalism was also an oblique riposte to New Humanism, a set of beliefs inspired by Geoffrey Scott’s hugely influential book The Architecture of Humanism (1914).1 But Scott’s call for a return to Arts and Crafts design principles was scorned as escapist nostalgia by many young midcentury modernists. Among them was the period’s foremost British architecture critic, </w:t>
      </w:r>
      <w:proofErr w:type="spellStart"/>
      <w:r>
        <w:t>Reyner</w:t>
      </w:r>
      <w:proofErr w:type="spellEnd"/>
      <w:r>
        <w:t xml:space="preserve"> Banham, who with his scant empathy for the Arts and Crafts Movement’s focus on social reform issues belittlingly described New Humanism as “brickwork, segmental arches, pitched roofs, small windows (or small panes at any rate)—picturesque detailing without picturesque planning. It was, in fact, the so-called ‘William Morris Revival,’ now happily defunct….”</w:t>
      </w:r>
    </w:p>
    <w:p w:rsidR="006617AF" w:rsidRDefault="006617AF" w:rsidP="006617AF"/>
    <w:p w:rsidR="006617AF" w:rsidRDefault="006617AF" w:rsidP="006617AF">
      <w:r>
        <w:t>Yet it was not a utopian nineteenth-century dreamland that Brutalism countered as much as the thin, commercialized version of the International Style that after World War II gained ascendance through economic expediency. Brutalism’s striking departure from the steel-skeleton-and-glass-skin conformity of this routine, profit-oriented modernism was defined by its contrary emphasis on raw concrete (</w:t>
      </w:r>
      <w:proofErr w:type="spellStart"/>
      <w:r>
        <w:t>béton</w:t>
      </w:r>
      <w:proofErr w:type="spellEnd"/>
      <w:r>
        <w:t xml:space="preserve"> brut in French) in massive forms of imposing scale, idiosyncratic shape, rough finish, and uncompromising forcefulness, with a building’s inner workings and services—structure, plumbing, </w:t>
      </w:r>
      <w:r>
        <w:lastRenderedPageBreak/>
        <w:t>electricity, heating, and ventilation—unabashedly exposed. Brutalism soon became a worldwide craze, as this comparatively economical means of fabrication offered a cost-effective alternative to hand-riveted metal construction and allowed a broader array of sculptural effects than those obtainable with rectilinear frameworks.</w:t>
      </w:r>
    </w:p>
    <w:p w:rsidR="006617AF" w:rsidRDefault="006617AF" w:rsidP="006617AF"/>
    <w:p w:rsidR="006617AF" w:rsidRDefault="006617AF" w:rsidP="006617AF">
      <w:r>
        <w:t xml:space="preserve">Apart from Brutalism’s most influential exemplar—Le Corbusier’s </w:t>
      </w:r>
      <w:proofErr w:type="spellStart"/>
      <w:r>
        <w:t>Unité</w:t>
      </w:r>
      <w:proofErr w:type="spellEnd"/>
      <w:r>
        <w:t xml:space="preserve"> </w:t>
      </w:r>
      <w:proofErr w:type="spellStart"/>
      <w:r>
        <w:t>d’habitation</w:t>
      </w:r>
      <w:proofErr w:type="spellEnd"/>
      <w:r>
        <w:t xml:space="preserve"> in Marseilles (1947–1952), a marvel of multi-unit high-rise housing that attracted hordes of young architects even before it was completed—other conspicuous manifestations of the style include Louis Kahn’s Richards Medical Research Laboratories at the University of Pennsylvania in Philadelphia (1957–1960), Marcel Breuer and Hamilton Smith’s Whitney Museum of American Art in New York City (1963–1966), and Denys </w:t>
      </w:r>
      <w:proofErr w:type="spellStart"/>
      <w:r>
        <w:t>Lasdun’s</w:t>
      </w:r>
      <w:proofErr w:type="spellEnd"/>
      <w:r>
        <w:t xml:space="preserve"> Royal National Theatre in London (1967–1976). And although the boldly modeled concrete architecture of Japan’s postwar Metabolist group is often considered an independent episode, designs such as </w:t>
      </w:r>
      <w:proofErr w:type="spellStart"/>
      <w:r>
        <w:t>Kenzo</w:t>
      </w:r>
      <w:proofErr w:type="spellEnd"/>
      <w:r>
        <w:t xml:space="preserve"> </w:t>
      </w:r>
      <w:proofErr w:type="spellStart"/>
      <w:r>
        <w:t>Tange’s</w:t>
      </w:r>
      <w:proofErr w:type="spellEnd"/>
      <w:r>
        <w:t xml:space="preserve"> </w:t>
      </w:r>
      <w:proofErr w:type="spellStart"/>
      <w:r>
        <w:t>swoopingly</w:t>
      </w:r>
      <w:proofErr w:type="spellEnd"/>
      <w:r>
        <w:t xml:space="preserve"> dynamic Olympic Stadium in Tokyo (1961–1964) can be placed under the Brutalist rubric.</w:t>
      </w:r>
    </w:p>
    <w:p w:rsidR="006617AF" w:rsidRDefault="006617AF" w:rsidP="006617AF"/>
    <w:p w:rsidR="006617AF" w:rsidRDefault="006617AF" w:rsidP="006617AF">
      <w:r>
        <w:t xml:space="preserve">The extent to which this new direction took hold internationally can be gathered from Christopher </w:t>
      </w:r>
      <w:proofErr w:type="spellStart"/>
      <w:r>
        <w:t>Beanland’s</w:t>
      </w:r>
      <w:proofErr w:type="spellEnd"/>
      <w:r>
        <w:t xml:space="preserve"> Concrete Concept, a well-illustrated compendium of fifty Brutalist landmarks on six continents. They range from very well-known examples such as Paul Rudolph’s intricately multilevel Yale Art and Architecture Building in New Haven (1958–1963) and the cubic heap of Moshe </w:t>
      </w:r>
      <w:proofErr w:type="spellStart"/>
      <w:r>
        <w:t>Safdie’s</w:t>
      </w:r>
      <w:proofErr w:type="spellEnd"/>
      <w:r>
        <w:t xml:space="preserve"> Habitat 67 housing at the 1967 World’s Fair in Montreal, to less familiar oddities like the rotund Beehive—the New Zealand Parliament’s Executive Wing in Wellington (1964–1977) by Basil Spence—and </w:t>
      </w:r>
      <w:proofErr w:type="spellStart"/>
      <w:r>
        <w:t>Rinaldo</w:t>
      </w:r>
      <w:proofErr w:type="spellEnd"/>
      <w:r>
        <w:t xml:space="preserve"> </w:t>
      </w:r>
      <w:proofErr w:type="spellStart"/>
      <w:r>
        <w:t>Olivieri’s</w:t>
      </w:r>
      <w:proofErr w:type="spellEnd"/>
      <w:r>
        <w:t xml:space="preserve"> La </w:t>
      </w:r>
      <w:proofErr w:type="spellStart"/>
      <w:r>
        <w:t>Pyramide</w:t>
      </w:r>
      <w:proofErr w:type="spellEnd"/>
      <w:r>
        <w:t xml:space="preserve"> (1968–1973), a mixed-used ziggurat in Abidjan, Ivory Coast. That global reach is further confirmed in the anthology Brutalism Resurgent, which includes a chapter on Skopje, the Macedonian city so extensively (and firmly) rebuilt in dramatic concrete forms after a devastating 1963 earthquake that it has been suggested that this out-of-the-way destination be promoted to architectural tourists as the “Brutalist Capital of the World.”</w:t>
      </w:r>
    </w:p>
    <w:p w:rsidR="006617AF" w:rsidRDefault="006617AF" w:rsidP="006617AF"/>
    <w:p w:rsidR="006617AF" w:rsidRDefault="006617AF" w:rsidP="006617AF">
      <w:r>
        <w:t>However, not every big, tough-looking building, even if made of concrete, is necessarily Brutalist. The new popularity of the subject has prompted another English enthusiast, the graphic designer Peter Chadwick, to assemble an album of images, This Brutal World, which takes the broadest conceivable definition of the style. The author dutifully quotes Banham’s dictum that “in order to be Brutalist, a building has to meet three criteria, namely the clear exhibition of structure, the valuation of materials ‘as found’ and memorability as image.”</w:t>
      </w:r>
    </w:p>
    <w:p w:rsidR="006617AF" w:rsidRDefault="006617AF" w:rsidP="006617AF"/>
    <w:p w:rsidR="006617AF" w:rsidRDefault="006617AF" w:rsidP="006617AF">
      <w:r>
        <w:t xml:space="preserve">But a great many of Chadwick’s selections do not meet all those standards. For example, few architectural historians would agree that Frank Lloyd Wright’s streamlined brick-and-translucent-glass Johnson Wax Research Tower in Racine, Wisconsin (1944–1951), or Skidmore, Owings &amp; Merrill’s Space Age Gothic aluminum-clad United States Air Force Academy Chapel in Colorado Springs (1958–1962) is Brutalist; nor for that matter are Daniel </w:t>
      </w:r>
      <w:proofErr w:type="spellStart"/>
      <w:r>
        <w:t>Libeskind’s</w:t>
      </w:r>
      <w:proofErr w:type="spellEnd"/>
      <w:r>
        <w:t xml:space="preserve"> </w:t>
      </w:r>
      <w:proofErr w:type="spellStart"/>
      <w:r>
        <w:t>Deconstructivist</w:t>
      </w:r>
      <w:proofErr w:type="spellEnd"/>
      <w:r>
        <w:t xml:space="preserve"> zinc-encased Jewish Museum Berlin (1989–1999) and SANAA’s Minimalist, metal-mesh-surfaced New Museum in New York City (2003–</w:t>
      </w:r>
      <w:r>
        <w:lastRenderedPageBreak/>
        <w:t xml:space="preserve">2007). Neither would many experts concur with his protracted Brutalist timeline, which encompasses the concrete monolith of Erich Mendelsohn’s Expressionist hat factory in </w:t>
      </w:r>
      <w:proofErr w:type="spellStart"/>
      <w:r>
        <w:t>Luckenwalde</w:t>
      </w:r>
      <w:proofErr w:type="spellEnd"/>
      <w:r>
        <w:t>, Germany (1921–1923), and three buildings completed in 2015.</w:t>
      </w:r>
    </w:p>
    <w:p w:rsidR="006617AF" w:rsidRDefault="006617AF" w:rsidP="006617AF"/>
    <w:p w:rsidR="006617AF" w:rsidRDefault="006617AF" w:rsidP="006617AF">
      <w:r>
        <w:t xml:space="preserve">Banham, fixated on materials and engineering, asserted that New Brutalism at last fulfilled a central philosophical aim of the Modern Movement. Praising the first celebrated British example of Brutalism, the </w:t>
      </w:r>
      <w:proofErr w:type="spellStart"/>
      <w:r>
        <w:t>Smithsons</w:t>
      </w:r>
      <w:proofErr w:type="spellEnd"/>
      <w:r>
        <w:t xml:space="preserve">’ </w:t>
      </w:r>
      <w:proofErr w:type="spellStart"/>
      <w:r>
        <w:t>Hunstanton</w:t>
      </w:r>
      <w:proofErr w:type="spellEnd"/>
      <w:r>
        <w:t xml:space="preserve"> Secondary Modern School in Norfolk (1950–1954), he wrote in his seminal 1955 Architectural Review essay “The New Brutalism”:</w:t>
      </w:r>
    </w:p>
    <w:p w:rsidR="006617AF" w:rsidRDefault="006617AF" w:rsidP="006617AF"/>
    <w:p w:rsidR="006617AF" w:rsidRDefault="006617AF" w:rsidP="006617AF">
      <w:r>
        <w:t xml:space="preserve">Whatever has been said about honest use of materials, most modern buildings appear to be made of whitewash or patent glazing, even when they are made of concrete or steel. </w:t>
      </w:r>
      <w:proofErr w:type="spellStart"/>
      <w:r>
        <w:t>Hunstanton</w:t>
      </w:r>
      <w:proofErr w:type="spellEnd"/>
      <w:r>
        <w:t xml:space="preserve"> appears to be made of glass, brick, steel and concrete, and in fact is made of glass, brick, steel and concrete. Water and electricity do not come out of unexplained holes in the wall, but are delivered to the point of use by visible pipes and manifest conduits. One can see what </w:t>
      </w:r>
      <w:proofErr w:type="spellStart"/>
      <w:r>
        <w:t>Hunstanton</w:t>
      </w:r>
      <w:proofErr w:type="spellEnd"/>
      <w:r>
        <w:t xml:space="preserve"> is made of, and how it works, and there is not another thing to see except the play of spaces.</w:t>
      </w:r>
    </w:p>
    <w:p w:rsidR="006617AF" w:rsidRDefault="006617AF" w:rsidP="006617AF"/>
    <w:p w:rsidR="006617AF" w:rsidRDefault="006617AF" w:rsidP="006617AF">
      <w:r>
        <w:t>Yet this restrictive attitude about “truth to materials”—a principal modernist shibboleth that began among moralizing Victorian theorists—was in essence little different from the judgmental admonitions of Arts and Crafts adherents about the inherent soullessness of the machine. Banham went on to expand his argument at book length in The New Brutalism: Ethic or Aesthetic (1966), which has been out of print for years and deserves republication as a revealing document of architectural historiography.</w:t>
      </w:r>
    </w:p>
    <w:p w:rsidR="006617AF" w:rsidRDefault="006617AF" w:rsidP="006617AF"/>
    <w:p w:rsidR="006617AF" w:rsidRDefault="006617AF" w:rsidP="006617AF">
      <w:r>
        <w:t>There are several reasons for today’s changing perceptions about Brutalism, which remained in fashion for only about twenty years. As the landmarks preservation movement has repeatedly demonstrated, what was once underappreciated or even despised in architecture often attains new value when its existence is threatened, whether one likes a currently démodé style or not. The most immediate concern about Brutalism now is its conservation, as many of these seemingly invulnerable, fortress-like edifices are beginning to fall apart. Like other experimental architects of the modern age, the Brutalists were more intent on getting their innovative designs built than worrying about how well they would last for the ages, and their command of new materials and construction techniques often lagged behind their innovative visions. But the debate over whether these purposefully unlovely creations should be restored to their original state or left to decay remains largely unresolved.2</w:t>
      </w:r>
    </w:p>
    <w:p w:rsidR="006617AF" w:rsidRDefault="006617AF" w:rsidP="006617AF"/>
    <w:p w:rsidR="006617AF" w:rsidRDefault="006617AF" w:rsidP="006617AF">
      <w:r>
        <w:t>Another major factor in the reexamination of Brutalism is the part postgraduate academicians play in methodically advancing topics that have yet to be fully investigated. While there will always be doctoral dissertations on unexamined facets of the great architectural masters, Ph.D. advisers often steer their students toward neglected or discounted subjects, with the hope that fresh analysis will yield worthwhile results. Thus we have seen the scholarly literature steadily progress far into the twentieth century, and it was only a matter of time until we reached Brutalism.</w:t>
      </w:r>
    </w:p>
    <w:p w:rsidR="006617AF" w:rsidRDefault="006617AF" w:rsidP="006617AF"/>
    <w:p w:rsidR="006617AF" w:rsidRDefault="006617AF" w:rsidP="006617AF">
      <w:r>
        <w:t>That there is a definite element of fandom in the Brutalist revival there can be no doubt. In the introduction to his paean Raw Concrete: The Beauty of Brutalism, the University of Liverpool architectural historian Barnabas Calder declares his infatuation:</w:t>
      </w:r>
    </w:p>
    <w:p w:rsidR="006617AF" w:rsidRDefault="006617AF" w:rsidP="006617AF"/>
    <w:p w:rsidR="006617AF" w:rsidRDefault="006617AF" w:rsidP="006617AF">
      <w:r>
        <w:t>I am a lover of concrete. The great outburst of large concrete buildings in the 1960s and ’70s, the style known as Brutalism, thrills me. I love the unapologetic strength of these buildings, and the dazzling confidence of their designers in making their substantial mark. I love the optimism they seem to embody, their architecture promising bullishly that new technologies can improve almost every corner of human life. Most of all, I love the way the buildings look: rough, raw concrete, streaked by rain and dirt, forming punchy, abstract shapes; soaring cliffs of tower block or entire cities within cities.</w:t>
      </w:r>
    </w:p>
    <w:p w:rsidR="006617AF" w:rsidRDefault="006617AF" w:rsidP="006617AF"/>
    <w:p w:rsidR="006617AF" w:rsidRDefault="006617AF" w:rsidP="006617AF">
      <w:r>
        <w:t xml:space="preserve">But it might also be argued that this aggressively </w:t>
      </w:r>
      <w:proofErr w:type="spellStart"/>
      <w:r>
        <w:t>neoprimitive</w:t>
      </w:r>
      <w:proofErr w:type="spellEnd"/>
      <w:r>
        <w:t xml:space="preserve"> ethos represented an outright rejection of High Modernism’s belief in the perfectibility of mankind through advanced technology, a rejection expressed in intentionally crude finishes that hardly improve with age. Brutalism, which reflected the bleak worldview of existentialism so pervasive in the 1950s, reveled in its uncouthness and flagrant lack of finesse in much the same way that the Angry Young Men of postwar British literature, drama, and filmmaking flaunted their contempt for anything that hinted at </w:t>
      </w:r>
      <w:proofErr w:type="spellStart"/>
      <w:r>
        <w:t>poshness</w:t>
      </w:r>
      <w:proofErr w:type="spellEnd"/>
      <w:r>
        <w:t>, polish, or privilege. Where Calder sees Brutalism’s confidence and optimism, others perceive a palpable angst and inward-turning defensiveness that make many of these designs seem more like penal institutions or military emplacements than housing estates, arts centers, or schools sponsored by an egalitarian and beneficent welfare state.</w:t>
      </w:r>
    </w:p>
    <w:p w:rsidR="006617AF" w:rsidRDefault="006617AF" w:rsidP="006617AF"/>
    <w:p w:rsidR="006617AF" w:rsidRDefault="006617AF" w:rsidP="006617AF">
      <w:proofErr w:type="spellStart"/>
      <w:r>
        <w:t>Trellick</w:t>
      </w:r>
      <w:proofErr w:type="spellEnd"/>
      <w:r>
        <w:t xml:space="preserve"> Tower, a thirty-one-story apartment block in North Kensington, London, designed by </w:t>
      </w:r>
      <w:proofErr w:type="spellStart"/>
      <w:r>
        <w:t>Ernő</w:t>
      </w:r>
      <w:proofErr w:type="spellEnd"/>
      <w:r>
        <w:t xml:space="preserve"> </w:t>
      </w:r>
      <w:proofErr w:type="spellStart"/>
      <w:r>
        <w:t>Goldfinger</w:t>
      </w:r>
      <w:proofErr w:type="spellEnd"/>
      <w:r>
        <w:t>, 1966–1972; from Elain Harwood’s Space, Hope, and Brutalism: English Architecture, 1945–1975</w:t>
      </w:r>
    </w:p>
    <w:p w:rsidR="006617AF" w:rsidRDefault="006617AF" w:rsidP="006617AF">
      <w:r>
        <w:t>James O. Davies/Historic England</w:t>
      </w:r>
    </w:p>
    <w:p w:rsidR="006617AF" w:rsidRDefault="006617AF" w:rsidP="006617AF">
      <w:proofErr w:type="spellStart"/>
      <w:r>
        <w:t>Trellick</w:t>
      </w:r>
      <w:proofErr w:type="spellEnd"/>
      <w:r>
        <w:t xml:space="preserve"> Tower, a thirty-one-story apartment block in North Kensington, London, designed by </w:t>
      </w:r>
      <w:proofErr w:type="spellStart"/>
      <w:r>
        <w:t>Ernő</w:t>
      </w:r>
      <w:proofErr w:type="spellEnd"/>
      <w:r>
        <w:t xml:space="preserve"> </w:t>
      </w:r>
      <w:proofErr w:type="spellStart"/>
      <w:r>
        <w:t>Goldfinger</w:t>
      </w:r>
      <w:proofErr w:type="spellEnd"/>
      <w:r>
        <w:t>, 1966–1972; from Elain Harwood’s Space, Hope, and Brutalism: English Architecture, 1945–1975</w:t>
      </w:r>
    </w:p>
    <w:p w:rsidR="006617AF" w:rsidRDefault="006617AF" w:rsidP="006617AF">
      <w:r>
        <w:t xml:space="preserve">Yet subsequent building modes often foster dissatisfactions that make earlier approaches of a diametrically different sort look appealing by comparison, which helps account for this reversal. After the flimsy </w:t>
      </w:r>
      <w:proofErr w:type="gramStart"/>
      <w:r>
        <w:t>cartoon</w:t>
      </w:r>
      <w:proofErr w:type="gramEnd"/>
      <w:r>
        <w:t xml:space="preserve">-Classical pastiches of Postmodernism in the 1980s, the nervously fragmented angularity of </w:t>
      </w:r>
      <w:proofErr w:type="spellStart"/>
      <w:r>
        <w:t>Deconstructivism</w:t>
      </w:r>
      <w:proofErr w:type="spellEnd"/>
      <w:r>
        <w:t xml:space="preserve"> in the 1990s, and the postmillennial proliferation of computer-generated “</w:t>
      </w:r>
      <w:proofErr w:type="spellStart"/>
      <w:r>
        <w:t>blobitecture</w:t>
      </w:r>
      <w:proofErr w:type="spellEnd"/>
      <w:r>
        <w:t>,” the undeniable material heft and protective aura of Brutalism can seem reassuring to those threatened by an increasingly multivalent and menacing world.</w:t>
      </w:r>
    </w:p>
    <w:p w:rsidR="006617AF" w:rsidRDefault="006617AF" w:rsidP="006617AF"/>
    <w:p w:rsidR="006617AF" w:rsidRDefault="006617AF" w:rsidP="006617AF">
      <w:r>
        <w:t>2.</w:t>
      </w:r>
    </w:p>
    <w:p w:rsidR="006617AF" w:rsidRDefault="006617AF" w:rsidP="006617AF"/>
    <w:p w:rsidR="006617AF" w:rsidRDefault="006617AF" w:rsidP="006617AF">
      <w:r>
        <w:t xml:space="preserve">The most substantial of the new publications is Space, Hope, and Brutalism: English Architecture, 1945–1975 by Elain Harwood, an architectural historian with the preservation group English Heritage. This nine-pound volume lays out a thorough survey of the subject both in its authoritative text and excellent illustrations. Although Brutalism became a worldwide trend, its greatest concentration was in Britain, where public building authorities gave overwhelming support to this new direction. (A detailed account of that remarkable architectural program is given by John </w:t>
      </w:r>
      <w:proofErr w:type="spellStart"/>
      <w:r>
        <w:t>Grindrod</w:t>
      </w:r>
      <w:proofErr w:type="spellEnd"/>
      <w:r>
        <w:t xml:space="preserve"> in his </w:t>
      </w:r>
      <w:proofErr w:type="spellStart"/>
      <w:r>
        <w:t>Concretopia</w:t>
      </w:r>
      <w:proofErr w:type="spellEnd"/>
      <w:r>
        <w:t>: A Journey Around the Rebuilding of Postwar Britain (2013), which lucidly evokes the political and social climate that enabled this style to flourish in a country that before World War II had not embraced modernism—except for its industrial manifestations—as fully as Germany, France, the Netherlands, the Soviet Union, Czechoslovakia, and Scandinavia.)</w:t>
      </w:r>
    </w:p>
    <w:p w:rsidR="006617AF" w:rsidRDefault="006617AF" w:rsidP="006617AF"/>
    <w:p w:rsidR="006617AF" w:rsidRDefault="006617AF" w:rsidP="006617AF">
      <w:r>
        <w:t>Like so many other aspects of twentieth-century architecture, the origins of Brutalism can be traced directly back to Le Corbusier, whose pronouncement that “</w:t>
      </w:r>
      <w:proofErr w:type="spellStart"/>
      <w:r>
        <w:t>l’architecture</w:t>
      </w:r>
      <w:proofErr w:type="spellEnd"/>
      <w:r>
        <w:t xml:space="preserve">, </w:t>
      </w:r>
      <w:proofErr w:type="spellStart"/>
      <w:r>
        <w:t>c’est</w:t>
      </w:r>
      <w:proofErr w:type="spellEnd"/>
      <w:r>
        <w:t xml:space="preserve"> avec des </w:t>
      </w:r>
      <w:proofErr w:type="spellStart"/>
      <w:r>
        <w:t>matières</w:t>
      </w:r>
      <w:proofErr w:type="spellEnd"/>
      <w:r>
        <w:t xml:space="preserve"> brutes </w:t>
      </w:r>
      <w:proofErr w:type="spellStart"/>
      <w:r>
        <w:t>établir</w:t>
      </w:r>
      <w:proofErr w:type="spellEnd"/>
      <w:r>
        <w:t xml:space="preserve"> des rapports </w:t>
      </w:r>
      <w:proofErr w:type="spellStart"/>
      <w:r>
        <w:t>émouvants</w:t>
      </w:r>
      <w:proofErr w:type="spellEnd"/>
      <w:r>
        <w:t xml:space="preserve">” (architecture is the establishing of moving relationships with raw materials) became the veritable gospel of the Brutalists. After he and Pierre </w:t>
      </w:r>
      <w:proofErr w:type="spellStart"/>
      <w:r>
        <w:t>Jeanneret</w:t>
      </w:r>
      <w:proofErr w:type="spellEnd"/>
      <w:r>
        <w:t xml:space="preserve"> completed their stunning series of machine-like Purist villas of the 1920s and early 1930s, the Swiss-French architect became deeply disillusioned with the creative limitations of rationalism and began a decisive turn toward rougher materials and biomorphic forms. These were first seen in his expressive use of concrete at the </w:t>
      </w:r>
      <w:proofErr w:type="spellStart"/>
      <w:r>
        <w:t>Pavillon</w:t>
      </w:r>
      <w:proofErr w:type="spellEnd"/>
      <w:r>
        <w:t xml:space="preserve"> Suisse student housing at the </w:t>
      </w:r>
      <w:proofErr w:type="spellStart"/>
      <w:r>
        <w:t>Cité</w:t>
      </w:r>
      <w:proofErr w:type="spellEnd"/>
      <w:r>
        <w:t xml:space="preserve"> </w:t>
      </w:r>
      <w:proofErr w:type="spellStart"/>
      <w:r>
        <w:t>Internationale</w:t>
      </w:r>
      <w:proofErr w:type="spellEnd"/>
      <w:r>
        <w:t xml:space="preserve"> </w:t>
      </w:r>
      <w:proofErr w:type="spellStart"/>
      <w:r>
        <w:t>Universitaire</w:t>
      </w:r>
      <w:proofErr w:type="spellEnd"/>
      <w:r>
        <w:t xml:space="preserve"> in Paris (1930–1931), and then even more evident in his Villa Le Sextant (1935) in Les </w:t>
      </w:r>
      <w:proofErr w:type="spellStart"/>
      <w:r>
        <w:t>Mathes</w:t>
      </w:r>
      <w:proofErr w:type="spellEnd"/>
      <w:r>
        <w:t>, France, with its rough stone rubble walls that point to the self-consciously primitive aesthetic of Brutalism.</w:t>
      </w:r>
    </w:p>
    <w:p w:rsidR="006617AF" w:rsidRDefault="006617AF" w:rsidP="006617AF"/>
    <w:p w:rsidR="006617AF" w:rsidRDefault="006617AF" w:rsidP="006617AF">
      <w:r>
        <w:t xml:space="preserve">Le Corbusier’s long-standing fascination with vernacular culture, amply displayed in his 1911 diary of travels through Southern, Central, and Eastern Europe (posthumously published as Le Voyage </w:t>
      </w:r>
      <w:proofErr w:type="spellStart"/>
      <w:r>
        <w:t>d’Orient</w:t>
      </w:r>
      <w:proofErr w:type="spellEnd"/>
      <w:r>
        <w:t xml:space="preserve">), was further strengthened by his friendship with Fernand Léger, who likewise idealized folk traditions and sought a similar vitality in his own art as he, too, moved away from an earlier technological aesthetic and toward a vigorous, less refined late style. Although Le Corbusier’s theories had a profound influence on the thinking of several generations of British architects, their built works seldom rose to the master’s level, unlike their contemporary counterparts in Brazil and other South American countries—including </w:t>
      </w:r>
      <w:proofErr w:type="spellStart"/>
      <w:r>
        <w:t>Lúcio</w:t>
      </w:r>
      <w:proofErr w:type="spellEnd"/>
      <w:r>
        <w:t xml:space="preserve"> Costa, Oscar Niemeyer, and Lina Bo </w:t>
      </w:r>
      <w:proofErr w:type="spellStart"/>
      <w:r>
        <w:t>Bardi</w:t>
      </w:r>
      <w:proofErr w:type="spellEnd"/>
      <w:r>
        <w:t>—who used raw concrete with a joyous bravado and sensual abandon rarely seen in British Brutalism.</w:t>
      </w:r>
    </w:p>
    <w:p w:rsidR="006617AF" w:rsidRDefault="006617AF" w:rsidP="006617AF"/>
    <w:p w:rsidR="006617AF" w:rsidRDefault="006617AF" w:rsidP="006617AF">
      <w:r>
        <w:t xml:space="preserve">At times, Brutalism could bring out the best in lesser architects whose work before and after that phase does not seem as interesting, perhaps most notably I.M. Pei. His firm’s early jobs for the real-estate developer William </w:t>
      </w:r>
      <w:proofErr w:type="spellStart"/>
      <w:r>
        <w:t>Zeckendorf</w:t>
      </w:r>
      <w:proofErr w:type="spellEnd"/>
      <w:r>
        <w:t xml:space="preserve"> Sr. were rather dull sub-</w:t>
      </w:r>
      <w:proofErr w:type="spellStart"/>
      <w:r>
        <w:t>Miesian</w:t>
      </w:r>
      <w:proofErr w:type="spellEnd"/>
      <w:r>
        <w:t xml:space="preserve"> efforts, while his late-career dependence on cautiously segmented and </w:t>
      </w:r>
      <w:proofErr w:type="spellStart"/>
      <w:r>
        <w:t>genteely</w:t>
      </w:r>
      <w:proofErr w:type="spellEnd"/>
      <w:r>
        <w:t xml:space="preserve"> manipulated geometries exhibited considerable technical suavity but little conceptual inventiveness. However, during the 1960s the Pei office produced three of his strongest designs, all in a Brutalist mode: the </w:t>
      </w:r>
      <w:proofErr w:type="spellStart"/>
      <w:r>
        <w:t>multitowered</w:t>
      </w:r>
      <w:proofErr w:type="spellEnd"/>
      <w:r>
        <w:t xml:space="preserve"> National Center for Atmospheric Research in Boulder, Colorado (1961–1967), which owes a clear debt to Kahn’s Richards labs; the monolithic Everson </w:t>
      </w:r>
      <w:r>
        <w:lastRenderedPageBreak/>
        <w:t xml:space="preserve">Museum of Art in Syracuse, New York (1965–1968), influenced by Minimalist sculpture; and the shadowbox-like Sculpture Wing of the Des Moines Art Center in Iowa (1966–1968), </w:t>
      </w:r>
      <w:proofErr w:type="spellStart"/>
      <w:r>
        <w:t>Corbusian</w:t>
      </w:r>
      <w:proofErr w:type="spellEnd"/>
      <w:r>
        <w:t xml:space="preserve"> in its framing. With this trio of relatively small but monumentally scaled structures, Pei achieved a rare and surprising balance between powerful expression and humane feeling unseen elsewhere in his extensive oeuvre.</w:t>
      </w:r>
    </w:p>
    <w:p w:rsidR="006617AF" w:rsidRDefault="006617AF" w:rsidP="006617AF"/>
    <w:p w:rsidR="006617AF" w:rsidRDefault="006617AF" w:rsidP="006617AF">
      <w:r>
        <w:t xml:space="preserve">Contrary to the grungy, pockmarked, damp-stained concrete surfaces typical of most Brutalist buildings, the exteriors of these three Pei structures are smoothly rendered, the difference owing to the careful craftsmanship of wooden casting molds much more finely finished than usual and often approaching the quality of furniture. (This exacting construction would remain a hallmark of the Pei office and is epitomized by its Grand Louvre expansion of 1983–1993 in Paris, where the perfectionist concrete is indistinguishable from tightly grained limestone.) Furthermore, the concrete for the Boulder laboratory was mixed with finely ground local red sandstone to harmonize with the surrounding mountainous terrain, whereas that for the Syracuse gallery was similarly augmented with particles of the region’s native gray granite. These grace notes strengthen compositional clarity without seeming overly precious, not unlike the work of </w:t>
      </w:r>
      <w:proofErr w:type="spellStart"/>
      <w:r>
        <w:t>Tadao</w:t>
      </w:r>
      <w:proofErr w:type="spellEnd"/>
      <w:r>
        <w:t xml:space="preserve"> Ando, today’s foremost adept of elegant concrete construction, who is often though incorrectly regarded as a neo-Brutalist.</w:t>
      </w:r>
    </w:p>
    <w:p w:rsidR="006617AF" w:rsidRDefault="006617AF" w:rsidP="006617AF"/>
    <w:p w:rsidR="006617AF" w:rsidRDefault="006617AF" w:rsidP="006617AF">
      <w:r>
        <w:t xml:space="preserve">The reasons why particular building styles are so prevalent in certain cities—such as Byzantine in Ravenna, Gothic in Bruges, or </w:t>
      </w:r>
      <w:proofErr w:type="spellStart"/>
      <w:r>
        <w:t>Modernisme</w:t>
      </w:r>
      <w:proofErr w:type="spellEnd"/>
      <w:r>
        <w:t xml:space="preserve"> (the Catalan variant of Art Nouveau) in Barcelona—are always rooted in economics and politics. When stability and prosperity attract growing populations and necessitate much new construction within short periods, uncommon architectural coherence emerges. In post–World War II America, the dynamic was rather the opposite, as rapid suburbanization pushed several big cities, financially hard hit since the Great Depression, further into decline.</w:t>
      </w:r>
    </w:p>
    <w:p w:rsidR="006617AF" w:rsidRDefault="006617AF" w:rsidP="006617AF"/>
    <w:p w:rsidR="006617AF" w:rsidRDefault="006617AF" w:rsidP="006617AF">
      <w:r>
        <w:t>To stem the erosion of their tax base, municipalities including Philadelphia, St. Louis, and Boston embarked on comprehensive plans to transform their run-down central districts. The New Boston initiative of the 1960s—led by the city’s mayor for most of that decade, John F. Collins, and implemented by Edward J. Logue, prime mover of the Boston Redevelopment Authority—coincided with the apogee of Brutalism and explains why that city became this country’s foremost repository of this short-lived style.</w:t>
      </w:r>
    </w:p>
    <w:p w:rsidR="006617AF" w:rsidRDefault="006617AF" w:rsidP="006617AF"/>
    <w:p w:rsidR="006617AF" w:rsidRDefault="006617AF" w:rsidP="006617AF">
      <w:r>
        <w:t xml:space="preserve">As Mark </w:t>
      </w:r>
      <w:proofErr w:type="spellStart"/>
      <w:r>
        <w:t>Pasnik</w:t>
      </w:r>
      <w:proofErr w:type="spellEnd"/>
      <w:r>
        <w:t xml:space="preserve">, Michael Kubo, and Chris </w:t>
      </w:r>
      <w:proofErr w:type="spellStart"/>
      <w:r>
        <w:t>Grimley</w:t>
      </w:r>
      <w:proofErr w:type="spellEnd"/>
      <w:r>
        <w:t xml:space="preserve"> document in their excellent history Heroic: Concrete Architecture and the New Boston, the roster of designers enlisted to recast the creaking Hub of the Universe as an up-to-date metropolis included several of the biggest names in twentieth-century architecture: Le Corbusier, Walter Gropius (then chief partner in the Cambridge, Massachusetts, firm The Architects Collaborative), </w:t>
      </w:r>
      <w:proofErr w:type="spellStart"/>
      <w:r>
        <w:t>Josep</w:t>
      </w:r>
      <w:proofErr w:type="spellEnd"/>
      <w:r>
        <w:t xml:space="preserve"> </w:t>
      </w:r>
      <w:proofErr w:type="spellStart"/>
      <w:r>
        <w:t>Lluís</w:t>
      </w:r>
      <w:proofErr w:type="spellEnd"/>
      <w:r>
        <w:t xml:space="preserve"> </w:t>
      </w:r>
      <w:proofErr w:type="spellStart"/>
      <w:r>
        <w:t>Sert</w:t>
      </w:r>
      <w:proofErr w:type="spellEnd"/>
      <w:r>
        <w:t xml:space="preserve">, Breuer, Pei, and Rudolph. By and large, though, the results were less than wonderful. The nexus of this undertaking was Government Center, a fifty-six-acre site just to the west of the Colonial-era Faneuil Hall and the nineteenth-century Quincy Market. This tripartite modern forum comprised the John F. Kennedy Federal Building by The Architects Collaborative </w:t>
      </w:r>
      <w:r>
        <w:lastRenderedPageBreak/>
        <w:t xml:space="preserve">(1961–1966); Boston City Hall by </w:t>
      </w:r>
      <w:proofErr w:type="spellStart"/>
      <w:r>
        <w:t>Kallmann</w:t>
      </w:r>
      <w:proofErr w:type="spellEnd"/>
      <w:r>
        <w:t xml:space="preserve">, </w:t>
      </w:r>
      <w:proofErr w:type="spellStart"/>
      <w:r>
        <w:t>McKinnell</w:t>
      </w:r>
      <w:proofErr w:type="spellEnd"/>
      <w:r>
        <w:t xml:space="preserve"> &amp; Knowles (1962–1969); and the concrete superblock of Rudolph’s Government Service Center (1962–1971).</w:t>
      </w:r>
    </w:p>
    <w:p w:rsidR="006617AF" w:rsidRDefault="006617AF" w:rsidP="006617AF"/>
    <w:p w:rsidR="006617AF" w:rsidRDefault="006617AF" w:rsidP="006617AF">
      <w:r>
        <w:t xml:space="preserve">The semi-enclosed street-level spaces beneath Rudolph’s ponderous and overbearing ensemble—its public concourse recalls Piranesi’s imaginary prisons without his sense of fantasy—provides an object lesson in how seemingly infinite volumes can nonetheless feel alarmingly claustrophobic. As much as a new generation of Rudolph zealots may hope for a wider </w:t>
      </w:r>
      <w:proofErr w:type="spellStart"/>
      <w:r>
        <w:t>reappreciation</w:t>
      </w:r>
      <w:proofErr w:type="spellEnd"/>
      <w:r>
        <w:t xml:space="preserve"> of his designs, his posthumous upgrading seems unlikely to be helped by the Government Service Center’s depressing hulk, with its jumbled undercarriage of sequoia-like columns, bulging balconies, and undulating stairways, all rendered in vertically corrugated textures of the hammered concrete that became his trademark.3 (The center’s proposed twenty-three-story office tower and a series of surrounding terraces were never executed because of funding cutbacks as the Great Society gave way to the Vietnam War.)</w:t>
      </w:r>
    </w:p>
    <w:p w:rsidR="006617AF" w:rsidRDefault="006617AF" w:rsidP="006617AF"/>
    <w:p w:rsidR="006617AF" w:rsidRDefault="006617AF" w:rsidP="006617AF">
      <w:r>
        <w:t xml:space="preserve">The high-rise Kennedy Federal Building was a wan performance by the Gropius firm, which had just inflicted the dreadful Pan Am Building (1960–1963) on New York City. None of the New Boston projects won as much critical praise as Boston City Hall, which was widely hailed upon its completion as the finest American public building of the postwar period. But this top-heavy citadel, on the former site of the raffish </w:t>
      </w:r>
      <w:proofErr w:type="spellStart"/>
      <w:r>
        <w:t>Scollay</w:t>
      </w:r>
      <w:proofErr w:type="spellEnd"/>
      <w:r>
        <w:t xml:space="preserve"> Square nightlife quarter, came to be seen by the public as forbidding and indeed hostile, and in recent years there have been repeated calls for its demolition and replacement with a more welcoming symbol of civic engagement.</w:t>
      </w:r>
    </w:p>
    <w:p w:rsidR="006617AF" w:rsidRDefault="006617AF" w:rsidP="006617AF"/>
    <w:p w:rsidR="006617AF" w:rsidRDefault="006617AF" w:rsidP="006617AF">
      <w:r>
        <w:t xml:space="preserve">The finest of the New Boston designs was a little gem commissioned by a private institution: Le Corbusier’s Carpenter Center for the Visual Arts on the Harvard campus in Cambridge (1958–1963). One of only two works he executed in the Western Hemisphere (the other was a postwar house in Argentina), the Carpenter Center shows just how rich and attractive the Brutalist vocabulary could be in the right hands. This five-story structure, squeezed into a narrow site, juxtaposes grid-like masses (which contain art studios) against sinuous </w:t>
      </w:r>
      <w:proofErr w:type="spellStart"/>
      <w:r>
        <w:t>ondulatures</w:t>
      </w:r>
      <w:proofErr w:type="spellEnd"/>
      <w:r>
        <w:t xml:space="preserve"> (walkways that slice through the exterior) and a dramatically cranked ramp that rises from the sidewalk to the entrance on the building’s second level. Both in its piquant ground plan and in its lively elevations, this marvelously collaged composition’s play of linear and curving elements brings to mind Picasso’s guitar sculptures of 1912–1914, while the invigorating </w:t>
      </w:r>
      <w:proofErr w:type="spellStart"/>
      <w:r>
        <w:t>marche</w:t>
      </w:r>
      <w:proofErr w:type="spellEnd"/>
      <w:r>
        <w:t xml:space="preserve"> Le Corbusier leads through these powerful concrete volumes is akin to the kinetic internal circulation patterns of </w:t>
      </w:r>
      <w:proofErr w:type="spellStart"/>
      <w:r>
        <w:t>Alvar</w:t>
      </w:r>
      <w:proofErr w:type="spellEnd"/>
      <w:r>
        <w:t xml:space="preserve"> Aalto, unsurpassed in his intuitive understanding of how to convey delight by movement through space.</w:t>
      </w:r>
    </w:p>
    <w:p w:rsidR="006617AF" w:rsidRDefault="006617AF" w:rsidP="006617AF"/>
    <w:p w:rsidR="006617AF" w:rsidRDefault="006617AF" w:rsidP="006617AF">
      <w:r>
        <w:t>The postmillennial comeback of Brutalism is not surprising, given today’s worldwide vogue for strenuously exhibitionistic architecture enabled by computer design, which has resulted in grotesque behemoths far stranger than anything achievable through the relatively low-tech means of concrete construction. Some older observers will see this fascination with grandiosity and ugliness as the return of the repressed, a reminder of why Brutalism fell into disfavor and disrepute in the first place.</w:t>
      </w:r>
    </w:p>
    <w:p w:rsidR="006617AF" w:rsidRDefault="006617AF" w:rsidP="006617AF"/>
    <w:p w:rsidR="006617AF" w:rsidRDefault="006617AF" w:rsidP="006617AF">
      <w:r>
        <w:t>This was never a style that attempted to convey warmth, comfort, intimacy, or other qualities we tend to associate with an enjoyable way of life, and thus it never won much love except from architectural specialists. Brutalism posited an unsentimental, not to say harsh, view of the modern world, and however heroic its unflinching embodiment of hard realities may have been, most people do not enjoy a daily diet of architectural anxiety and alienation, especially in northern climates under cloudy skies.</w:t>
      </w:r>
    </w:p>
    <w:p w:rsidR="006617AF" w:rsidRDefault="006617AF" w:rsidP="006617AF"/>
    <w:p w:rsidR="006617AF" w:rsidRDefault="006617AF" w:rsidP="006617AF">
      <w:r>
        <w:t xml:space="preserve">One of the first signs of rejection came in J.G. Ballard’s dystopian novel High-Rise (1975), which is set in a thinly fictionalized version of </w:t>
      </w:r>
      <w:proofErr w:type="spellStart"/>
      <w:r>
        <w:t>Ernő</w:t>
      </w:r>
      <w:proofErr w:type="spellEnd"/>
      <w:r>
        <w:t xml:space="preserve"> </w:t>
      </w:r>
      <w:proofErr w:type="spellStart"/>
      <w:r>
        <w:t>Goldfinger’s</w:t>
      </w:r>
      <w:proofErr w:type="spellEnd"/>
      <w:r>
        <w:t xml:space="preserve"> </w:t>
      </w:r>
      <w:proofErr w:type="spellStart"/>
      <w:r>
        <w:t>Trellick</w:t>
      </w:r>
      <w:proofErr w:type="spellEnd"/>
      <w:r>
        <w:t xml:space="preserve"> Tower in London’s North Kensington (1966–1972). (It is one of fifty-four sites highlighted in the Brutalist London Map, a useful guide to landmarks of the style in the British capital.) This thirty-one-story apartment block, commissioned by the Greater London Council, was based on Le Corbusier’s original </w:t>
      </w:r>
      <w:proofErr w:type="spellStart"/>
      <w:r>
        <w:t>Unité</w:t>
      </w:r>
      <w:proofErr w:type="spellEnd"/>
      <w:r>
        <w:t xml:space="preserve"> in Marseilles, although </w:t>
      </w:r>
      <w:proofErr w:type="spellStart"/>
      <w:r>
        <w:t>Goldfinger’s</w:t>
      </w:r>
      <w:proofErr w:type="spellEnd"/>
      <w:r>
        <w:t xml:space="preserve"> scheme is nearly twice as high as its prototype. </w:t>
      </w:r>
      <w:proofErr w:type="spellStart"/>
      <w:r>
        <w:t>Trellick</w:t>
      </w:r>
      <w:proofErr w:type="spellEnd"/>
      <w:r>
        <w:t xml:space="preserve"> Tower was well received by its first inhabitants, but as was also true of contemporaneous public housing projects in the United States, it quickly went to pot as funds for its upkeep and security were slashed, which resulted in a rapid descent into crime and squalor.</w:t>
      </w:r>
    </w:p>
    <w:p w:rsidR="006617AF" w:rsidRDefault="006617AF" w:rsidP="006617AF"/>
    <w:p w:rsidR="006617AF" w:rsidRDefault="006617AF" w:rsidP="006617AF">
      <w:r>
        <w:t xml:space="preserve">Neoconservative critics blamed the architecture, but as sociological studies have since proven, the claim that tall residential complexes breed social malaise is groundless. After </w:t>
      </w:r>
      <w:proofErr w:type="spellStart"/>
      <w:r>
        <w:t>Trellick</w:t>
      </w:r>
      <w:proofErr w:type="spellEnd"/>
      <w:r>
        <w:t xml:space="preserve"> Tower was privatized in the 1980s, when Margaret Thatcher got the British government out of the public housing business, the building’s owner-residents increased protection from intruders, paid for long-delayed repairs, and it is now a highly desirable property rightly appreciated for its design quality. Ironically enough, it stands as Thatcher’s unwitting contribution to preserving the built legacy of the munificent welfare state she worked so hard to destroy through her own distinctive brand of brutalism.</w:t>
      </w:r>
    </w:p>
    <w:p w:rsidR="006617AF" w:rsidRDefault="006617AF" w:rsidP="006617AF"/>
    <w:p w:rsidR="006617AF" w:rsidRDefault="006617AF" w:rsidP="006617AF">
      <w:r>
        <w:t>1</w:t>
      </w:r>
    </w:p>
    <w:p w:rsidR="006617AF" w:rsidRDefault="006617AF" w:rsidP="006617AF">
      <w:r>
        <w:t xml:space="preserve">See </w:t>
      </w:r>
      <w:proofErr w:type="spellStart"/>
      <w:r>
        <w:t>Witold</w:t>
      </w:r>
      <w:proofErr w:type="spellEnd"/>
      <w:r>
        <w:t xml:space="preserve"> </w:t>
      </w:r>
      <w:proofErr w:type="spellStart"/>
      <w:r>
        <w:t>Rybczynski</w:t>
      </w:r>
      <w:proofErr w:type="spellEnd"/>
      <w:r>
        <w:t xml:space="preserve">, “The Triumph of a Distinguished Failure,” The New York Review, October 21, 2004. </w:t>
      </w:r>
      <w:r>
        <w:rPr>
          <w:rFonts w:ascii="Cambria Math" w:hAnsi="Cambria Math" w:cs="Cambria Math"/>
        </w:rPr>
        <w:t>↩</w:t>
      </w:r>
    </w:p>
    <w:p w:rsidR="006617AF" w:rsidRDefault="006617AF" w:rsidP="006617AF">
      <w:r>
        <w:t>2</w:t>
      </w:r>
    </w:p>
    <w:p w:rsidR="006617AF" w:rsidRDefault="006617AF" w:rsidP="006617AF">
      <w:r>
        <w:t xml:space="preserve">See my “Smash It: Who </w:t>
      </w:r>
      <w:proofErr w:type="gramStart"/>
      <w:r>
        <w:t>Cares?,</w:t>
      </w:r>
      <w:proofErr w:type="gramEnd"/>
      <w:r>
        <w:t xml:space="preserve">” The New York Review, November 8, 2012. </w:t>
      </w:r>
      <w:r>
        <w:rPr>
          <w:rFonts w:ascii="Cambria Math" w:hAnsi="Cambria Math" w:cs="Cambria Math"/>
        </w:rPr>
        <w:t>↩</w:t>
      </w:r>
    </w:p>
    <w:p w:rsidR="006617AF" w:rsidRDefault="006617AF" w:rsidP="006617AF">
      <w:r>
        <w:t>3</w:t>
      </w:r>
    </w:p>
    <w:p w:rsidR="001964CA" w:rsidRDefault="006617AF" w:rsidP="006617AF">
      <w:pPr>
        <w:rPr>
          <w:rFonts w:ascii="Cambria Math" w:hAnsi="Cambria Math" w:cs="Cambria Math"/>
        </w:rPr>
      </w:pPr>
      <w:r>
        <w:t xml:space="preserve">See my “The Hard Case of Paul Rudolph,” The New York Review, February 5, 2015. </w:t>
      </w:r>
      <w:r>
        <w:rPr>
          <w:rFonts w:ascii="Cambria Math" w:hAnsi="Cambria Math" w:cs="Cambria Math"/>
        </w:rPr>
        <w:t>↩</w:t>
      </w:r>
    </w:p>
    <w:p w:rsidR="006617AF" w:rsidRDefault="006617AF" w:rsidP="006617AF">
      <w:pPr>
        <w:rPr>
          <w:rFonts w:ascii="Cambria Math" w:hAnsi="Cambria Math" w:cs="Cambria Math"/>
        </w:rPr>
      </w:pPr>
    </w:p>
    <w:p w:rsidR="006617AF" w:rsidRDefault="006617AF" w:rsidP="006617AF">
      <w:r>
        <w:t>he Rockefeller Family Fund Takes on ExxonMobil</w:t>
      </w:r>
    </w:p>
    <w:p w:rsidR="006617AF" w:rsidRDefault="006617AF" w:rsidP="006617AF">
      <w:r>
        <w:t>David Kaiser and Lee Wasserman DECEMBER 22, 2016 ISSUE</w:t>
      </w:r>
    </w:p>
    <w:p w:rsidR="006617AF" w:rsidRDefault="006617AF" w:rsidP="006617AF">
      <w:r>
        <w:lastRenderedPageBreak/>
        <w:t>Merchants of Doubt: How a Handful of Scientists Obscured the Truth on Issues from Tobacco Smoke to Global Warming</w:t>
      </w:r>
    </w:p>
    <w:p w:rsidR="006617AF" w:rsidRDefault="006617AF" w:rsidP="006617AF">
      <w:r>
        <w:t xml:space="preserve">by Naomi </w:t>
      </w:r>
      <w:proofErr w:type="spellStart"/>
      <w:r>
        <w:t>Oreskes</w:t>
      </w:r>
      <w:proofErr w:type="spellEnd"/>
      <w:r>
        <w:t xml:space="preserve"> and Erik M. Conway</w:t>
      </w:r>
    </w:p>
    <w:p w:rsidR="006617AF" w:rsidRDefault="006617AF" w:rsidP="006617AF">
      <w:r>
        <w:t>Bloomsbury, 355 pp., $18.00 (paper)</w:t>
      </w:r>
    </w:p>
    <w:p w:rsidR="006617AF" w:rsidRDefault="006617AF" w:rsidP="006617AF">
      <w:r>
        <w:t>Private Empire: ExxonMobil and American Power</w:t>
      </w:r>
    </w:p>
    <w:p w:rsidR="006617AF" w:rsidRDefault="006617AF" w:rsidP="006617AF">
      <w:r>
        <w:t xml:space="preserve">by Steve </w:t>
      </w:r>
      <w:proofErr w:type="spellStart"/>
      <w:r>
        <w:t>Coll</w:t>
      </w:r>
      <w:proofErr w:type="spellEnd"/>
    </w:p>
    <w:p w:rsidR="006617AF" w:rsidRDefault="006617AF" w:rsidP="006617AF">
      <w:r>
        <w:t>Penguin, 685 pp., $19.00 (paper)</w:t>
      </w:r>
    </w:p>
    <w:p w:rsidR="006617AF" w:rsidRDefault="006617AF" w:rsidP="006617AF">
      <w:r>
        <w:t>Exxon: The Road Not Taken</w:t>
      </w:r>
    </w:p>
    <w:p w:rsidR="006617AF" w:rsidRDefault="006617AF" w:rsidP="006617AF">
      <w:r>
        <w:t xml:space="preserve">by </w:t>
      </w:r>
      <w:proofErr w:type="spellStart"/>
      <w:r>
        <w:t>Neela</w:t>
      </w:r>
      <w:proofErr w:type="spellEnd"/>
      <w:r>
        <w:t xml:space="preserve"> Banerjee, John H. Cushman Jr., David </w:t>
      </w:r>
      <w:proofErr w:type="spellStart"/>
      <w:r>
        <w:t>Hasemyer</w:t>
      </w:r>
      <w:proofErr w:type="spellEnd"/>
      <w:r>
        <w:t>, and Lisa Song</w:t>
      </w:r>
    </w:p>
    <w:p w:rsidR="006617AF" w:rsidRDefault="006617AF" w:rsidP="006617AF">
      <w:proofErr w:type="spellStart"/>
      <w:r>
        <w:t>InsideClimate</w:t>
      </w:r>
      <w:proofErr w:type="spellEnd"/>
      <w:r>
        <w:t xml:space="preserve"> News, 88 pp., $5.99 (paper)</w:t>
      </w:r>
    </w:p>
    <w:p w:rsidR="006617AF" w:rsidRDefault="006617AF" w:rsidP="006617AF">
      <w:r>
        <w:t>What Exxon Knew About the Earth’s Melting Arctic</w:t>
      </w:r>
    </w:p>
    <w:p w:rsidR="006617AF" w:rsidRDefault="006617AF" w:rsidP="006617AF">
      <w:r>
        <w:t xml:space="preserve">an article by Sara </w:t>
      </w:r>
      <w:proofErr w:type="spellStart"/>
      <w:r>
        <w:t>Jerving</w:t>
      </w:r>
      <w:proofErr w:type="spellEnd"/>
      <w:r>
        <w:t>, Katie Jennings, Masako Melissa Hirsch, and Susanne Rust</w:t>
      </w:r>
    </w:p>
    <w:p w:rsidR="006617AF" w:rsidRDefault="006617AF" w:rsidP="006617AF">
      <w:r>
        <w:t>Los Angeles Times, October 9, 2015</w:t>
      </w:r>
    </w:p>
    <w:p w:rsidR="006617AF" w:rsidRDefault="006617AF" w:rsidP="006617AF">
      <w:r>
        <w:t>How Exxon Went from Leader to Skeptic on Climate Change Research</w:t>
      </w:r>
    </w:p>
    <w:p w:rsidR="006617AF" w:rsidRDefault="006617AF" w:rsidP="006617AF">
      <w:r>
        <w:t xml:space="preserve">an article by Katie Jennings, Dino </w:t>
      </w:r>
      <w:proofErr w:type="spellStart"/>
      <w:r>
        <w:t>Grandoni</w:t>
      </w:r>
      <w:proofErr w:type="spellEnd"/>
      <w:r>
        <w:t>, and Susanne Rust</w:t>
      </w:r>
    </w:p>
    <w:p w:rsidR="006617AF" w:rsidRDefault="006617AF" w:rsidP="006617AF">
      <w:r>
        <w:t>Los Angeles Times, October 23, 2015</w:t>
      </w:r>
    </w:p>
    <w:p w:rsidR="006617AF" w:rsidRDefault="006617AF" w:rsidP="006617AF">
      <w:r>
        <w:t>Big Oil Braced for Global Warming While It Fought Regulations</w:t>
      </w:r>
    </w:p>
    <w:p w:rsidR="006617AF" w:rsidRDefault="006617AF" w:rsidP="006617AF">
      <w:r>
        <w:t>an article by Amy Lieberman and Susanne Rust</w:t>
      </w:r>
    </w:p>
    <w:p w:rsidR="006617AF" w:rsidRDefault="006617AF" w:rsidP="006617AF">
      <w:r>
        <w:t>Los Angeles Times, December 31, 2015</w:t>
      </w:r>
    </w:p>
    <w:p w:rsidR="006617AF" w:rsidRDefault="006617AF" w:rsidP="006617AF">
      <w:r>
        <w:t>Archival Documents on Exxon’s Climate History</w:t>
      </w:r>
    </w:p>
    <w:p w:rsidR="006617AF" w:rsidRDefault="006617AF" w:rsidP="006617AF">
      <w:r>
        <w:t>available at www.climatefiles.com</w:t>
      </w:r>
    </w:p>
    <w:p w:rsidR="006617AF" w:rsidRDefault="006617AF" w:rsidP="006617AF">
      <w:r>
        <w:t>Smoke, Mirrors and Hot Air: How ExxonMobil Uses Big Tobacco’s Tactics to Manufacture Uncertainty on Climate Science</w:t>
      </w:r>
    </w:p>
    <w:p w:rsidR="006617AF" w:rsidRDefault="006617AF" w:rsidP="006617AF">
      <w:r>
        <w:t>a report by the Union of Concerned Scientists, January 2007</w:t>
      </w:r>
    </w:p>
    <w:p w:rsidR="006617AF" w:rsidRDefault="006617AF" w:rsidP="006617AF">
      <w:r>
        <w:t>available at ucsusa.org</w:t>
      </w:r>
    </w:p>
    <w:p w:rsidR="006617AF" w:rsidRDefault="006617AF" w:rsidP="006617AF">
      <w:r>
        <w:t xml:space="preserve">A plant owned by </w:t>
      </w:r>
      <w:proofErr w:type="spellStart"/>
      <w:r>
        <w:t>Syncrude</w:t>
      </w:r>
      <w:proofErr w:type="spellEnd"/>
      <w:r>
        <w:t>, a joint venture of ExxonMobil’s Canadian subsidiary Imperial Oil, which processes oil from the tar sands of northern Alberta, Canada’s biggest source of carbon emissions and the US’s largest source of imported oil; photograph by Garth Lenz from his traveling exhibition ‘The True Cost of Oil’</w:t>
      </w:r>
    </w:p>
    <w:p w:rsidR="006617AF" w:rsidRDefault="006617AF" w:rsidP="006617AF">
      <w:r>
        <w:t>Garth Lenz</w:t>
      </w:r>
    </w:p>
    <w:p w:rsidR="006617AF" w:rsidRDefault="006617AF" w:rsidP="006617AF">
      <w:r>
        <w:lastRenderedPageBreak/>
        <w:t xml:space="preserve">A plant owned by </w:t>
      </w:r>
      <w:proofErr w:type="spellStart"/>
      <w:r>
        <w:t>Syncrude</w:t>
      </w:r>
      <w:proofErr w:type="spellEnd"/>
      <w:r>
        <w:t>, a joint venture of ExxonMobil’s Canadian subsidiary Imperial Oil, which processes oil from the tar sands of northern Alberta, Canada’s biggest source of carbon emissions and the US’s largest source of imported oil; photograph by Garth Lenz from his traveling exhibition ‘The True Cost of Oil’</w:t>
      </w:r>
    </w:p>
    <w:p w:rsidR="006617AF" w:rsidRDefault="006617AF" w:rsidP="006617AF">
      <w:r>
        <w:t xml:space="preserve">In the first part of this article, we described recent reporting that ExxonMobil’s leaders knew humans were altering the world’s climate by burning fossil fuels even while the company was helping to fund and propel the movement denying the reality of climate change.1 Ever since the Los Angeles Times and </w:t>
      </w:r>
      <w:proofErr w:type="spellStart"/>
      <w:r>
        <w:t>InsideClimate</w:t>
      </w:r>
      <w:proofErr w:type="spellEnd"/>
      <w:r>
        <w:t xml:space="preserve"> News started publishing articles showing this in late 2015, ExxonMobil has repeatedly accused its critics of “cherry-picking” the evidence, taking its statements out of context, and “giving an incorrect impression about our corporation’s approach to climate change.”2 Meanwhile, New York Attorney General Eric </w:t>
      </w:r>
      <w:proofErr w:type="spellStart"/>
      <w:r>
        <w:t>Schneiderman</w:t>
      </w:r>
      <w:proofErr w:type="spellEnd"/>
      <w:r>
        <w:t xml:space="preserve"> is one of several officials who have been investigating whether the company’s failures to disclose the business risks of climate change to its shareholders constituted consumer or securities fraud.</w:t>
      </w:r>
    </w:p>
    <w:p w:rsidR="006617AF" w:rsidRDefault="006617AF" w:rsidP="006617AF"/>
    <w:p w:rsidR="006617AF" w:rsidRDefault="006617AF" w:rsidP="006617AF">
      <w:r>
        <w:t xml:space="preserve">Since ExxonMobil claims that it has been misrepresented, we encourage it to make public all the documents </w:t>
      </w:r>
      <w:proofErr w:type="spellStart"/>
      <w:r>
        <w:t>Schneiderman</w:t>
      </w:r>
      <w:proofErr w:type="spellEnd"/>
      <w:r>
        <w:t xml:space="preserve"> has demanded, so that independent researchers can consider all the facts. In the </w:t>
      </w:r>
      <w:proofErr w:type="gramStart"/>
      <w:r>
        <w:t>meantime</w:t>
      </w:r>
      <w:proofErr w:type="gramEnd"/>
      <w:r>
        <w:t xml:space="preserve"> we suggest that anyone who remains unconvinced by the record we have collected and published of the company’s internal statements confirming the reality of climate change consider its actions, especially its expenditures. Regardless of its campaign to confuse policymakers and the public, Exxon has always kept a clear eye on scientific reality when making business decisions.</w:t>
      </w:r>
    </w:p>
    <w:p w:rsidR="006617AF" w:rsidRDefault="006617AF" w:rsidP="006617AF"/>
    <w:p w:rsidR="006617AF" w:rsidRDefault="006617AF" w:rsidP="006617AF">
      <w:r>
        <w:t xml:space="preserve">In 1980, for example, Exxon paid $400 million for the rights to the </w:t>
      </w:r>
      <w:proofErr w:type="spellStart"/>
      <w:r>
        <w:t>Natuna</w:t>
      </w:r>
      <w:proofErr w:type="spellEnd"/>
      <w:r>
        <w:t xml:space="preserve"> natural gas field in the South China Sea. But company scientists soon realized that the field contained unusually high concentrations of carbon dioxide, and concluded in 1984 that extracting its gas would make it “the world’s largest point source emitter of CO2 [, which] raises concern for the possible incremental impact of </w:t>
      </w:r>
      <w:proofErr w:type="spellStart"/>
      <w:r>
        <w:t>Natuna</w:t>
      </w:r>
      <w:proofErr w:type="spellEnd"/>
      <w:r>
        <w:t xml:space="preserve"> on the CO2 greenhouse problem.” The company left </w:t>
      </w:r>
      <w:proofErr w:type="spellStart"/>
      <w:r>
        <w:t>Natuna</w:t>
      </w:r>
      <w:proofErr w:type="spellEnd"/>
      <w:r>
        <w:t xml:space="preserve"> undeveloped. Exxon’s John Woodward, who wrote an internal report on the field in 1981, told </w:t>
      </w:r>
      <w:proofErr w:type="spellStart"/>
      <w:r>
        <w:t>InsideClimate</w:t>
      </w:r>
      <w:proofErr w:type="spellEnd"/>
      <w:r>
        <w:t xml:space="preserve"> News, “They were being farsighted. They weren’t sure when CO2 controls would be required and how it would affect the economics of the project.”3</w:t>
      </w:r>
    </w:p>
    <w:p w:rsidR="006617AF" w:rsidRDefault="006617AF" w:rsidP="006617AF"/>
    <w:p w:rsidR="006617AF" w:rsidRDefault="006617AF" w:rsidP="006617AF">
      <w:r>
        <w:t xml:space="preserve">This, of course, was a responsible decision. But it indicates the distance between Exxon’s decades of public deception about climate change and its internal findings. So do investments that Exxon and its Canadian subsidiary Imperial Oil made in the Arctic. As Ken </w:t>
      </w:r>
      <w:proofErr w:type="spellStart"/>
      <w:r>
        <w:t>Croasdale</w:t>
      </w:r>
      <w:proofErr w:type="spellEnd"/>
      <w:r>
        <w:t>, a senior ice researcher at Imperial, told an engineering conference in 1991, concentrations of greenhouse gases in the atmosphere were increasing “due to the burning of fossil fuels. Nobody disputes this fact.” Accordingly,</w:t>
      </w:r>
    </w:p>
    <w:p w:rsidR="006617AF" w:rsidRDefault="006617AF" w:rsidP="006617AF"/>
    <w:p w:rsidR="006617AF" w:rsidRDefault="006617AF" w:rsidP="006617AF">
      <w:r>
        <w:t>any major development with a life span of say 30–40 years will need to assess the impacts of potential global warming. This is particularly true of Arctic and offshore projects in Canada, where warming will clearly affect sea ice, icebergs, permafrost and sea levels.</w:t>
      </w:r>
    </w:p>
    <w:p w:rsidR="006617AF" w:rsidRDefault="006617AF" w:rsidP="006617AF"/>
    <w:p w:rsidR="006617AF" w:rsidRDefault="006617AF" w:rsidP="006617AF">
      <w:proofErr w:type="spellStart"/>
      <w:r>
        <w:lastRenderedPageBreak/>
        <w:t>Croasdale</w:t>
      </w:r>
      <w:proofErr w:type="spellEnd"/>
      <w:r>
        <w:t xml:space="preserve"> based these projections on the same climate models that Exxon’s leaders spent the next fifteen years publicly disparaging. But following his warnings that rising seas would threaten buildings on the coast, bigger waves would threaten offshore drilling platforms, and thawing permafrost would threaten pipelines, Exxon began reinforcing its Arctic infrastructure.4</w:t>
      </w:r>
    </w:p>
    <w:p w:rsidR="006617AF" w:rsidRDefault="006617AF" w:rsidP="006617AF"/>
    <w:p w:rsidR="006617AF" w:rsidRDefault="006617AF" w:rsidP="006617AF">
      <w:r>
        <w:t>Similarly, as Steve Coll5 wrote in Private Empire: ExxonMobil and American Power (2012), the company’s</w:t>
      </w:r>
    </w:p>
    <w:p w:rsidR="006617AF" w:rsidRDefault="006617AF" w:rsidP="006617AF"/>
    <w:p w:rsidR="006617AF" w:rsidRDefault="006617AF" w:rsidP="006617AF">
      <w:r>
        <w:t>investments in skeptics of the scientific consensus coincided with what at least a few of ExxonMobil’s own managers regarded as a hypocritical drive inside the corporation to explore whether climate change might offer new opportunities for oil exploration and profit.</w:t>
      </w:r>
    </w:p>
    <w:p w:rsidR="006617AF" w:rsidRDefault="006617AF" w:rsidP="006617AF"/>
    <w:p w:rsidR="006617AF" w:rsidRDefault="006617AF" w:rsidP="006617AF">
      <w:r>
        <w:t>The company tried to use the work of one of its most celebrated earth scientists, Peter Vail, to predict how alterations to the planet’s surface made by the changing climate could help it discover new deposits of oil and gas. “‘So don’t believe for a minute that ExxonMobil doesn’t think climate change is real,’ said a former manager…. ‘They were using climate change as a source of insight into exploration.’”6</w:t>
      </w:r>
    </w:p>
    <w:p w:rsidR="006617AF" w:rsidRDefault="006617AF" w:rsidP="006617AF"/>
    <w:p w:rsidR="006617AF" w:rsidRDefault="006617AF" w:rsidP="006617AF">
      <w:r>
        <w:t xml:space="preserve">Soon after Rex </w:t>
      </w:r>
      <w:proofErr w:type="spellStart"/>
      <w:r>
        <w:t>Tillerson</w:t>
      </w:r>
      <w:proofErr w:type="spellEnd"/>
      <w:r>
        <w:t xml:space="preserve"> replaced Lee Raymond as CEO at the start of 2006, he created a secret task force to reconsider the company’s approach to climate change</w:t>
      </w:r>
      <w:proofErr w:type="gramStart"/>
      <w:r>
        <w:t>—“</w:t>
      </w:r>
      <w:proofErr w:type="gramEnd"/>
      <w:r>
        <w:t xml:space="preserve">so that it would be more sustainable and less exposed,” according to one participant.7 </w:t>
      </w:r>
      <w:proofErr w:type="spellStart"/>
      <w:r>
        <w:t>Tillerson</w:t>
      </w:r>
      <w:proofErr w:type="spellEnd"/>
      <w:r>
        <w:t xml:space="preserve"> may have been afraid that the company’s aggressive denial campaign had made it vulnerable to lawsuits.8</w:t>
      </w:r>
    </w:p>
    <w:p w:rsidR="006617AF" w:rsidRDefault="006617AF" w:rsidP="006617AF"/>
    <w:p w:rsidR="006617AF" w:rsidRDefault="006617AF" w:rsidP="006617AF">
      <w:r>
        <w:t xml:space="preserve">Under his leadership, as </w:t>
      </w:r>
      <w:proofErr w:type="spellStart"/>
      <w:r>
        <w:t>Coll</w:t>
      </w:r>
      <w:proofErr w:type="spellEnd"/>
      <w:r>
        <w:t xml:space="preserve"> has shown, the company gradually began to change its public position on climate. In 2006 its British subsidiary promised the UK’s Royal Society it would stop funding organizations that were misinforming the public about climate science.9 In 2007 </w:t>
      </w:r>
      <w:proofErr w:type="spellStart"/>
      <w:r>
        <w:t>Tillerson</w:t>
      </w:r>
      <w:proofErr w:type="spellEnd"/>
      <w:r>
        <w:t xml:space="preserve"> stated, “We know the climate is changing, the average temperature of the earth is rising, and greenhouse gas emissions are increasing.” (That was more than Raymond had ever admitted, but </w:t>
      </w:r>
      <w:proofErr w:type="spellStart"/>
      <w:r>
        <w:t>Tillerson</w:t>
      </w:r>
      <w:proofErr w:type="spellEnd"/>
      <w:r>
        <w:t xml:space="preserve"> still wouldn’t acknowledge that fossil fuel combustion caused global warming)10 In January 2009—twelve days before President Obama’s inauguration would situate the company in much less welcoming political territory—</w:t>
      </w:r>
      <w:proofErr w:type="spellStart"/>
      <w:r>
        <w:t>Tillerson</w:t>
      </w:r>
      <w:proofErr w:type="spellEnd"/>
      <w:r>
        <w:t xml:space="preserve"> announced that ExxonMobil had become concerned enough about climate change to support a carbon tax.11</w:t>
      </w:r>
    </w:p>
    <w:p w:rsidR="006617AF" w:rsidRDefault="006617AF" w:rsidP="006617AF"/>
    <w:p w:rsidR="006617AF" w:rsidRDefault="006617AF" w:rsidP="006617AF">
      <w:r>
        <w:t xml:space="preserve">The climate measure then under active discussion in Washington, however, was a cap-and-trade bill. There was almost no political support for a carbon tax at the time, and </w:t>
      </w:r>
      <w:proofErr w:type="spellStart"/>
      <w:r>
        <w:t>Tillerson’s</w:t>
      </w:r>
      <w:proofErr w:type="spellEnd"/>
      <w:r>
        <w:t xml:space="preserve"> announcement may have been meant to divert support from the reform that seemed most plausible.12 Indeed, since then, although ExxonMobil continues to claim that it supports a carbon tax, it has given much more money to members of Congress who oppose such a tax than to those who endorse one.13 As of last year it was </w:t>
      </w:r>
      <w:r>
        <w:lastRenderedPageBreak/>
        <w:t>still funding organizations that deny global warming or fight policies proposed to address it.14 And at its annual shareholder meetings it still fiercely resists almost all meaningful resolutions on climate change.15</w:t>
      </w:r>
    </w:p>
    <w:p w:rsidR="006617AF" w:rsidRDefault="006617AF" w:rsidP="006617AF"/>
    <w:p w:rsidR="006617AF" w:rsidRDefault="006617AF" w:rsidP="006617AF">
      <w:r>
        <w:t>The Securities and Exchange Commission requires companies to disclose known business risks to their investors, and Exxon’s leaders have been acutely conscious of the changing climate’s danger to the oil business for almost forty years. The company didn’t start telling its shareholders about that danger until 2007,16 however, and in our opinion has never disclosed its full scope. To take just one very important example, the valuation of any oil company depends largely on its “booked reserves,” meaning the quantities of buried oil and gas to which it owns the rights.17 Ultimately, however, ExxonMobil may not be able to sell most of its booked reserves, because the world’s governments, in trying to prevent catastrophic climate change, may have to adopt policies that make exploiting them economically unfeasible.</w:t>
      </w:r>
    </w:p>
    <w:p w:rsidR="006617AF" w:rsidRDefault="006617AF" w:rsidP="006617AF"/>
    <w:p w:rsidR="006617AF" w:rsidRDefault="006617AF" w:rsidP="006617AF">
      <w:r>
        <w:t>In 2013 the Intergovernmental Panel on Climate Change (IPCC) formally endorsed the idea of a global “carbon budget,” estimating that, to keep warming to the two degrees Celsius then considered the largest increase possible without incurring catastrophe, humanity could only burn about 269 billion more tons of fossil fuels.18 (We are currently burning about ten billion tons a year.)19 As of 2009, however, the world had 763 billion tons of proven and economically recoverable fossil fuel reserves.20</w:t>
      </w:r>
    </w:p>
    <w:p w:rsidR="006617AF" w:rsidRDefault="006617AF" w:rsidP="006617AF"/>
    <w:p w:rsidR="006617AF" w:rsidRDefault="006617AF" w:rsidP="006617AF">
      <w:r>
        <w:t>If ExxonMobil can sell only a fraction of its booked reserves—if those reserves are “stranded”—then its share price will probably decline substantially. The company has long been familiar with the concept of a carbon budget, but claims to believe it is “highly unlikely” that the world will be able to comply with the IPCC’s recommendation for such a budget. In 2014 it stated, “We are confident that none of our hydrocarbon reserves are now or will become ‘stranded.’”21 Because it is a matter of the highest urgency that humanity find a way to adopt the IPCC’s global carbon budget, however, it seems to us that ExxonMobil has been much too sanguine about its business prospects.22 As a Baltimore Sun editorial about the company’s long history of climate deceptions put it, “Surely there ought to be consequences if a for-profit company knowingly tells shareholders patent falsehoods (and then those investors make decisions about their life savings without realizing they’ve been lied to).”23</w:t>
      </w:r>
    </w:p>
    <w:p w:rsidR="006617AF" w:rsidRDefault="006617AF" w:rsidP="006617AF"/>
    <w:p w:rsidR="006617AF" w:rsidRDefault="006617AF" w:rsidP="006617AF">
      <w:r>
        <w:t xml:space="preserve">It is up to government officials, not public interest advocates, to determine whether ExxonMobil’s conduct has violated any state or federal laws within the relevant statutes of limitations. Recognizing this, the Rockefeller Family Fund (RFF) informed state attorneys general of our concern that ExxonMobil seemed to have failed to disclose to investors the business risks of climate change. We were particularly encouraged by </w:t>
      </w:r>
      <w:proofErr w:type="spellStart"/>
      <w:r>
        <w:t>Schneiderman’s</w:t>
      </w:r>
      <w:proofErr w:type="spellEnd"/>
      <w:r>
        <w:t xml:space="preserve"> interest in this matter, because New York’s Martin Act is arguably the most powerful tool in the nation for investigating possible schemes to defraud.24 If ExxonMobil fully complies with </w:t>
      </w:r>
      <w:proofErr w:type="spellStart"/>
      <w:r>
        <w:t>Schneiderman’s</w:t>
      </w:r>
      <w:proofErr w:type="spellEnd"/>
      <w:r>
        <w:t xml:space="preserve"> subpoena, he will be able to make a thorough review of the company’s disclosures to shareholders on climate change and the history of its internal knowledge. He will then be able to decide whether or not to hold ExxonMobil legally responsible based on all the facts.</w:t>
      </w:r>
    </w:p>
    <w:p w:rsidR="006617AF" w:rsidRDefault="006617AF" w:rsidP="006617AF"/>
    <w:p w:rsidR="006617AF" w:rsidRDefault="006617AF" w:rsidP="006617AF">
      <w:r>
        <w:t xml:space="preserve">No state AG’s office can easily compete with ExxonMobil’s legal resources, however, not even New York’s. </w:t>
      </w:r>
      <w:proofErr w:type="spellStart"/>
      <w:r>
        <w:t>Schneiderman</w:t>
      </w:r>
      <w:proofErr w:type="spellEnd"/>
      <w:r>
        <w:t xml:space="preserve"> has been intrepid so far, but would benefit greatly from cooperation from the AGs of Massachusetts, California, and other states, as well as from the federal government. ExxonMobil has already launched aggressive legal actions against the Virgin Islands, Massachusetts, and New York in response to their investigations, and this may deter others from joining </w:t>
      </w:r>
      <w:proofErr w:type="spellStart"/>
      <w:r>
        <w:t>Schneiderman’s</w:t>
      </w:r>
      <w:proofErr w:type="spellEnd"/>
      <w:r>
        <w:t xml:space="preserve"> efforts.25 Still, we hope that other AGs will recognize how dangerous it is when a corporation can use its wealth to discourage enforcement of possible violations of laws governing securities and consumer protection. If they believe the laws of their states may have been violated, they should initiate investigations of their own.</w:t>
      </w:r>
    </w:p>
    <w:p w:rsidR="006617AF" w:rsidRDefault="006617AF" w:rsidP="006617AF"/>
    <w:p w:rsidR="006617AF" w:rsidRDefault="006617AF" w:rsidP="006617AF">
      <w:r>
        <w:t>The RFF has also consulted with other advocates about ways to use what we know about ExxonMobil to educate the public about climate change.26 The company’s suggestion that our communications with governmental officials and like-minded public interest advocates constitutes “conspiracy,” however, is absurd, ignoring the long record American civic associations have of addressing deep societal problems by use of the First Amendment.</w:t>
      </w:r>
    </w:p>
    <w:p w:rsidR="006617AF" w:rsidRDefault="006617AF" w:rsidP="006617AF"/>
    <w:p w:rsidR="006617AF" w:rsidRDefault="006617AF" w:rsidP="006617AF">
      <w:r>
        <w:t>ExxonMobil’s success in forestalling any sort of adequate response to climate change for a quarter-century makes it imperative that Congress address this swiftly descending crisis now with all possible force and urgency. If the companies that bear so much responsibility for blocking climate action have broken any laws in the process, we hope they will be held accountable. We also hope, secondarily, to make it difficult for elected officials to accept ExxonMobil’s money and do its bidding.</w:t>
      </w:r>
    </w:p>
    <w:p w:rsidR="006617AF" w:rsidRDefault="006617AF" w:rsidP="006617AF"/>
    <w:p w:rsidR="006617AF" w:rsidRDefault="006617AF" w:rsidP="006617AF">
      <w:r>
        <w:t xml:space="preserve">Texas Congressman Lamar Smith has taken more money in campaign contributions from oil and gas companies, including ExxonMobil, than from any other industry during his congressional career.27 It is not hard to see why </w:t>
      </w:r>
      <w:proofErr w:type="gramStart"/>
      <w:r>
        <w:t>companies</w:t>
      </w:r>
      <w:proofErr w:type="gramEnd"/>
      <w:r>
        <w:t xml:space="preserve"> intent on blocking new climate policies are eager to support him. Last year, for example, the National Oceanic and Atmospheric Administration published an article in Science refuting the already discredited canard that climate data show no warming over the past two decades.28 In response Smith issued a subpoena to the agency, demanding all its internal e-mails about climate research. An article in US News and World Report observed that Smith’s “brand of oversight may signal a new era for science, one where research itself is subject to political polarization.”29 According to Eddie Bernice Johnson, the ranking minority member of the House Science Committee, Smith has repeatedly called former tobacco industry scientists, consultants, and public relations firms to testify at his committee’s hearings, and has relied on their guidance in previous investigations.30 Wired last year called him “Congress’ Chief Climate Denier.”31</w:t>
      </w:r>
    </w:p>
    <w:p w:rsidR="006617AF" w:rsidRDefault="006617AF" w:rsidP="006617AF"/>
    <w:p w:rsidR="006617AF" w:rsidRDefault="006617AF" w:rsidP="006617AF">
      <w:r>
        <w:t>Recently, Smith has accused several AGs and environmental organizations, including the Rockefeller Family Fund, of “</w:t>
      </w:r>
      <w:proofErr w:type="spellStart"/>
      <w:r>
        <w:t>undermin</w:t>
      </w:r>
      <w:proofErr w:type="spellEnd"/>
      <w:r>
        <w:t>[</w:t>
      </w:r>
      <w:proofErr w:type="spellStart"/>
      <w:r>
        <w:t>ing</w:t>
      </w:r>
      <w:proofErr w:type="spellEnd"/>
      <w:r>
        <w:t xml:space="preserve">] the First Amendment of the Constitution.” He has told us at the RFF that “Congress has a duty to protect scientists and researchers from the criminalization of scientific inquiry” </w:t>
      </w:r>
      <w:r>
        <w:lastRenderedPageBreak/>
        <w:t>and “a responsibility to investigate whether [the state inquiries into ExxonMobil] are having a chilling effect on the free flow of scientific inquiry and debate regarding climate change.”32 As the dean of the Yale Law School wrote in The Washington Post, “It is hard to exaggerate the brazen audacity of this argument.”33 Johnson wrote to Smith that “in a Congress in which the Committee on Science, Space, and Technology’s oversight powers have been repeatedly abused, this latest action stands apart…. Never in the history of this formerly esteemed Committee has oversight been carried out with such open disregard for truth, fairness, and the rule of law.”34 The San Antonio Express-News, Smith’s hometown paper, which had previously endorsed his bids for reelection, declined to do so this year because of his “abuse of his position as chairman” and his “bullying on the issue of climate change.”35</w:t>
      </w:r>
    </w:p>
    <w:p w:rsidR="006617AF" w:rsidRDefault="006617AF" w:rsidP="006617AF"/>
    <w:p w:rsidR="006617AF" w:rsidRDefault="006617AF" w:rsidP="006617AF">
      <w:r>
        <w:t>Greenpeace activists preparing to board an ExxonMobil oil rig in Norwegian waters to protest its plans to drill for oil in the Russian Arctic, March 2014</w:t>
      </w:r>
    </w:p>
    <w:p w:rsidR="006617AF" w:rsidRDefault="006617AF" w:rsidP="006617AF">
      <w:r>
        <w:t>Will Rose/Greenpeace</w:t>
      </w:r>
    </w:p>
    <w:p w:rsidR="006617AF" w:rsidRDefault="006617AF" w:rsidP="006617AF">
      <w:r>
        <w:t>Greenpeace activists preparing to board an ExxonMobil oil rig in Norwegian waters to protest its plans to drill for oil in the Russian Arctic, March 2014</w:t>
      </w:r>
    </w:p>
    <w:p w:rsidR="006617AF" w:rsidRDefault="006617AF" w:rsidP="006617AF">
      <w:r>
        <w:t>Congressional committees have very limited jurisdiction over state law enforcement officers engaged in the good-faith execution of their duties, and never before has Congress subpoenaed a state attorney general.36 The AGs investigating ExxonMobil are trying to determine whether the company has defrauded shareholders according to the laws of their states.37 Fraud, of course, is not protected by the First Amendment, and since the AGs are responsible for prosecuting fraud, they must be free to investigate it.</w:t>
      </w:r>
    </w:p>
    <w:p w:rsidR="006617AF" w:rsidRDefault="006617AF" w:rsidP="006617AF"/>
    <w:p w:rsidR="006617AF" w:rsidRDefault="006617AF" w:rsidP="006617AF">
      <w:r>
        <w:t>As for the nonprofit organizations the Science Committee has subpoenaed, including our own, it is obviously not within our power to violate anyone’s First Amendment rights. The Supreme Court has called it “a commonplace that the constitutional guarantee of free speech is a guarantee only against abridgment by government, federal or state.”38 That aside, we have no wish to silence anyone, or to interfere with free scientific inquiry. For the best ideas to prevail, however, people must be allowed to point out instances of inaccurate or dishonest speech. And indeed, by calling attention to the deep, largely orchestrated dishonesty that has characterized the climate denial movement ever since its inception, we are supporting genuine scientific inquiry.</w:t>
      </w:r>
    </w:p>
    <w:p w:rsidR="006617AF" w:rsidRDefault="006617AF" w:rsidP="006617AF"/>
    <w:p w:rsidR="006617AF" w:rsidRDefault="006617AF" w:rsidP="006617AF">
      <w:r>
        <w:t>We have tried to reach a reasonable accommodation with the Science Committee. But we do wish to criticize ExxonMobil on moral grounds for its long effort to confuse and deceive the public about climate change. Moreover, we believe that the willingness of some members of Congress to echo and defend ExxonMobil’s obfuscation of established climate science is an inexcusable breach of the public trust. It is our First Amendment right to express these views.</w:t>
      </w:r>
    </w:p>
    <w:p w:rsidR="006617AF" w:rsidRDefault="006617AF" w:rsidP="006617AF"/>
    <w:p w:rsidR="006617AF" w:rsidRDefault="006617AF" w:rsidP="006617AF">
      <w:r>
        <w:lastRenderedPageBreak/>
        <w:t>In fact, the Science Committee is doing to the people and organizations it subpoenaed exactly what it accuses us of doing. It is trying to chill the First Amendment rights of those who would petition government, speak freely, and freely associate to advocate for responsible climate policies.39 The legal fees we have incurred because of its demands are bearable for the RFF, but they would be crippling for many smaller organizations. We also face civil or criminal liability if we are held in contempt of Congress because we will not accede to these demands.</w:t>
      </w:r>
    </w:p>
    <w:p w:rsidR="006617AF" w:rsidRDefault="006617AF" w:rsidP="006617AF"/>
    <w:p w:rsidR="006617AF" w:rsidRDefault="006617AF" w:rsidP="006617AF">
      <w:r>
        <w:t>More seriously, the committee’s actions now force all organizations that would collaborate with others when taking on powerful special interests to consider that they might be ordered to reveal their strategies to any hostile member of Congress with subpoena power. This is a clear injury to the First Amendment right of association. As the Ninth Circuit wrote in Perry v. Schwarzenegger (2010):</w:t>
      </w:r>
    </w:p>
    <w:p w:rsidR="006617AF" w:rsidRDefault="006617AF" w:rsidP="006617AF"/>
    <w:p w:rsidR="006617AF" w:rsidRDefault="006617AF" w:rsidP="006617AF">
      <w:r>
        <w:t>Implicit in the right to associate with others to advance one’s shared political beliefs is the right to exchange ideas and formulate strategy and messages, and to do so in private. Compelling disclosure of internal campaign communications can chill the exercise of these rights.40</w:t>
      </w:r>
    </w:p>
    <w:p w:rsidR="006617AF" w:rsidRDefault="006617AF" w:rsidP="006617AF"/>
    <w:p w:rsidR="006617AF" w:rsidRDefault="006617AF" w:rsidP="006617AF">
      <w:r>
        <w:t>Many commentators have noted that the committee is doing the same things to us that it falsely accuses us of doing.41 By accusing us of harming the First Amendment rights of others when it is attacking ours, it is trying to turn what would otherwise be self-evidently outrageous conduct into a dispute. This is not so different from ExxonMobil’s politicized variant of the “Tobacco Strategy”—people will be tempted simply to take the side with which they sympathize ideologically. Meanwhile, the committee is creating a distraction from the real issues, which are what Exxon knew, and when; what it did with its knowledge; and what options humanity has left to prevent the worst consequences of climate change.</w:t>
      </w:r>
    </w:p>
    <w:p w:rsidR="006617AF" w:rsidRDefault="006617AF" w:rsidP="006617AF"/>
    <w:p w:rsidR="006617AF" w:rsidRDefault="006617AF" w:rsidP="006617AF">
      <w:r>
        <w:t>Thousands of scientists from around the world contribute to the Intergovernmental Panel on Climate Change’s reports, reviewing and synthesizing the published literature on climate science every few years. The summaries for policymakers that encapsulate those reports must then be considered and approved, line by line, by representatives of over 120 different countries.42 Because of the remarkable number of scientists participating in the IPCC’s work, it is generally considered the world’s greatest institutional authority on climate science.43 But because it requires the approval of so many nations, including oil producers like Saudi Arabia and Kuwait, and because it is subject to political manipulation, as happened when ExxonMobil convinced the Bush administration to have its chairman replaced in 2001,44 the IPCC’s conclusions are generally considered quite conservative.45</w:t>
      </w:r>
    </w:p>
    <w:p w:rsidR="006617AF" w:rsidRDefault="006617AF" w:rsidP="006617AF"/>
    <w:p w:rsidR="006617AF" w:rsidRDefault="006617AF" w:rsidP="006617AF">
      <w:r>
        <w:t xml:space="preserve">Still, the predictions of the IPCC’s latest report, published last year, are dire.46 In this century, disastrous weather events such as storms, droughts, floods, fires, and heat waves will become more common and more severe. Changes to regional weather will have especially serious consequences in places that are already poor, as areas that are semiarid now, for example, become too dry to farm at all. Low-lying </w:t>
      </w:r>
      <w:r>
        <w:lastRenderedPageBreak/>
        <w:t>islands and coastal cities around the world will be threatened by rising sea levels. In many parts of the world, both the quantity and the quality of fresh water will decline.</w:t>
      </w:r>
    </w:p>
    <w:p w:rsidR="006617AF" w:rsidRDefault="006617AF" w:rsidP="006617AF"/>
    <w:p w:rsidR="006617AF" w:rsidRDefault="006617AF" w:rsidP="006617AF">
      <w:r>
        <w:t>For a time, some places will see agricultural productivity increase as the planet warms and rainfall distribution shifts; but others will face shortages of food and the possibility of famine. Globally, total agricultural output is expected to be lower at the end of the century than it is now. The challenge of feeding the world’s people will be exacerbated by declining fisheries as the oceans warm and turn more acidic. Many plant and animal species will become extinct as climatic changes outpace their ability to adapt, others will migrate to new regions, and all of this will have cascading effects on most ecosystems. (For example, the combination of much larger wildfires than we are used to seeing and invasive beetle species may endanger the world’s boreal forests—and if they disappear, they will release vast additional quantities of carbon dioxide into the atmosphere.) Old diseases will spread and new ones emerge.</w:t>
      </w:r>
    </w:p>
    <w:p w:rsidR="006617AF" w:rsidRDefault="006617AF" w:rsidP="006617AF"/>
    <w:p w:rsidR="006617AF" w:rsidRDefault="006617AF" w:rsidP="006617AF">
      <w:r>
        <w:t>These different effects of climate change will interact with each other in complex ways, some of which may not be predictable now. It seems clear, however, that the poorest parts of the world will become poorer still, and economies everywhere will be threatened. (A 1980 American Petroleum Institute meeting in which Exxon participated concluded that at a “3% per annum growth rate of CO2, a 2.5° C rise [in average global temperature] brings world economic growth to a halt in about 2025.”)47 Conflict over dwindling resources will increase around the world; so, dramatically, will human migration and political instability.</w:t>
      </w:r>
    </w:p>
    <w:p w:rsidR="006617AF" w:rsidRDefault="006617AF" w:rsidP="006617AF"/>
    <w:p w:rsidR="006617AF" w:rsidRDefault="006617AF" w:rsidP="006617AF">
      <w:r>
        <w:t>As a group of retired American generals and admirals who studied the national security implications of climate change concluded in 2007:</w:t>
      </w:r>
    </w:p>
    <w:p w:rsidR="006617AF" w:rsidRDefault="006617AF" w:rsidP="006617AF"/>
    <w:p w:rsidR="006617AF" w:rsidRDefault="006617AF" w:rsidP="006617AF">
      <w:r>
        <w:t>Economic and environmental conditions in already fragile areas will further erode as food production declines, diseases increase, clean water becomes increasingly scarce, and large populations move in search of resources. Weakened and failing governments, with an already thin margin for survival, foster the conditions for internal conflicts, extremism, and movement toward increased authoritarianism and radical ideologies.</w:t>
      </w:r>
    </w:p>
    <w:p w:rsidR="006617AF" w:rsidRDefault="006617AF" w:rsidP="006617AF"/>
    <w:p w:rsidR="006617AF" w:rsidRDefault="006617AF" w:rsidP="006617AF">
      <w:r>
        <w:t>It is true that scientists still disagree about precisely how severe the effects of climate change will be, and when. But, the generals and admirals wrote, “As military leaders, we know we cannot wait for certainty. Failing to act because a warning isn’t precise enough is unacceptable.”48</w:t>
      </w:r>
    </w:p>
    <w:p w:rsidR="006617AF" w:rsidRDefault="006617AF" w:rsidP="006617AF"/>
    <w:p w:rsidR="006617AF" w:rsidRDefault="006617AF" w:rsidP="006617AF">
      <w:r>
        <w:t xml:space="preserve">The world’s governments should have acted decades ago. When the Exxon scientist James Black wrote in 1978 that “the need for hard decisions regarding changes in energy strategies might become critical” in “five to ten years,” he was right.49 That was humanity’s best chance to start making the transition to a clean energy economy before so much CO2 was released into the atmosphere that a great deal of </w:t>
      </w:r>
      <w:r>
        <w:lastRenderedPageBreak/>
        <w:t>warming became unavoidable. In our opinion, the reason the world has failed to act for so long is in no small part because the climate denial campaign that Exxon helped devise and lead was so successful.</w:t>
      </w:r>
    </w:p>
    <w:p w:rsidR="006617AF" w:rsidRDefault="006617AF" w:rsidP="006617AF"/>
    <w:p w:rsidR="006617AF" w:rsidRDefault="006617AF" w:rsidP="006617AF">
      <w:r>
        <w:t xml:space="preserve">Just as the tobacco industry gained decades of huge profits by obfuscating the dangers of smoking, the oil industry secured decades of profits—in Exxon’s case, some of the largest profits of any corporation in history—by helping to create a fake controversy over climate science that deceived and victimized many policymakers, as well as much of the public. The bogus science it paid for through front groups, which was then repeated and validated by industry-funded, right-wing think tanks and a too-easily cowed press, worked just as well for ExxonMobil as it had for R.J. Reynolds. A 2004 study by Naomi </w:t>
      </w:r>
      <w:proofErr w:type="spellStart"/>
      <w:r>
        <w:t>Oreskes</w:t>
      </w:r>
      <w:proofErr w:type="spellEnd"/>
      <w:r>
        <w:t xml:space="preserve"> in Science examined 928 peer-reviewed papers on climate science and found that not a single one disputed global warming’s existence or its human cause.50 But according to a recent Yale University study, only 11 percent of Americans understand that there is a scientific consensus on these points.51</w:t>
      </w:r>
    </w:p>
    <w:p w:rsidR="006617AF" w:rsidRDefault="006617AF" w:rsidP="006617AF"/>
    <w:p w:rsidR="006617AF" w:rsidRDefault="006617AF" w:rsidP="006617AF">
      <w:r>
        <w:t>The climate deniers succeeded in politicizing a formerly nonpartisan issue and a threat to all humanity.52 In consequence, for decades now, meaningful congressional action to address climate change has been impossible. Without the agreement and leadership of the United States, the world’s largest cumulative emitter of CO2, it has been impossible to achieve a meaningful global accord on climate change. The recently completed Paris agreement on climate, for which the Obama administration fought, will be effective—but only if the world’s nations live up to the commitments they made in it. Although, as a result in part of the actions of ExxonMobil, we have already missed our best chance to prevent a reordering of the world’s ecological balance due to climate change, we can still avoid its worst effects. There is an enormous difference between the new, local disasters that the changing climate is already causing around the world53 and the global catastrophe that will become unavoidable within a few decades unless humanity takes decisive action soon.</w:t>
      </w:r>
    </w:p>
    <w:p w:rsidR="006617AF" w:rsidRDefault="006617AF" w:rsidP="006617AF"/>
    <w:p w:rsidR="006617AF" w:rsidRDefault="006617AF" w:rsidP="006617AF">
      <w:r>
        <w:t>—This is the second part of a two-part article.</w:t>
      </w:r>
    </w:p>
    <w:p w:rsidR="006617AF" w:rsidRDefault="006617AF" w:rsidP="006617AF"/>
    <w:p w:rsidR="006617AF" w:rsidRDefault="006617AF" w:rsidP="006617AF">
      <w:r>
        <w:t>1</w:t>
      </w:r>
      <w:bookmarkStart w:id="0" w:name="_GoBack"/>
      <w:bookmarkEnd w:id="0"/>
    </w:p>
    <w:p w:rsidR="006617AF" w:rsidRDefault="006617AF" w:rsidP="006617AF"/>
    <w:sectPr w:rsidR="00661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AF"/>
    <w:rsid w:val="00043750"/>
    <w:rsid w:val="001D71F0"/>
    <w:rsid w:val="00203063"/>
    <w:rsid w:val="00411C5D"/>
    <w:rsid w:val="006617AF"/>
    <w:rsid w:val="00724BDA"/>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6B34"/>
  <w15:chartTrackingRefBased/>
  <w15:docId w15:val="{2EB08BF2-1FD1-42BC-B9F9-98A39548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789694">
      <w:bodyDiv w:val="1"/>
      <w:marLeft w:val="0"/>
      <w:marRight w:val="0"/>
      <w:marTop w:val="0"/>
      <w:marBottom w:val="0"/>
      <w:divBdr>
        <w:top w:val="none" w:sz="0" w:space="0" w:color="auto"/>
        <w:left w:val="none" w:sz="0" w:space="0" w:color="auto"/>
        <w:bottom w:val="none" w:sz="0" w:space="0" w:color="auto"/>
        <w:right w:val="none" w:sz="0" w:space="0" w:color="auto"/>
      </w:divBdr>
      <w:divsChild>
        <w:div w:id="510951165">
          <w:marLeft w:val="0"/>
          <w:marRight w:val="0"/>
          <w:marTop w:val="0"/>
          <w:marBottom w:val="0"/>
          <w:divBdr>
            <w:top w:val="none" w:sz="0" w:space="0" w:color="auto"/>
            <w:left w:val="none" w:sz="0" w:space="0" w:color="auto"/>
            <w:bottom w:val="none" w:sz="0" w:space="0" w:color="auto"/>
            <w:right w:val="none" w:sz="0" w:space="0" w:color="auto"/>
          </w:divBdr>
        </w:div>
        <w:div w:id="1337540477">
          <w:marLeft w:val="0"/>
          <w:marRight w:val="0"/>
          <w:marTop w:val="0"/>
          <w:marBottom w:val="0"/>
          <w:divBdr>
            <w:top w:val="none" w:sz="0" w:space="0" w:color="auto"/>
            <w:left w:val="none" w:sz="0" w:space="0" w:color="auto"/>
            <w:bottom w:val="none" w:sz="0" w:space="0" w:color="auto"/>
            <w:right w:val="none" w:sz="0" w:space="0" w:color="auto"/>
          </w:divBdr>
        </w:div>
        <w:div w:id="944536469">
          <w:marLeft w:val="0"/>
          <w:marRight w:val="0"/>
          <w:marTop w:val="0"/>
          <w:marBottom w:val="0"/>
          <w:divBdr>
            <w:top w:val="none" w:sz="0" w:space="0" w:color="auto"/>
            <w:left w:val="none" w:sz="0" w:space="0" w:color="auto"/>
            <w:bottom w:val="none" w:sz="0" w:space="0" w:color="auto"/>
            <w:right w:val="none" w:sz="0" w:space="0" w:color="auto"/>
          </w:divBdr>
        </w:div>
        <w:div w:id="1100486824">
          <w:marLeft w:val="0"/>
          <w:marRight w:val="0"/>
          <w:marTop w:val="0"/>
          <w:marBottom w:val="0"/>
          <w:divBdr>
            <w:top w:val="none" w:sz="0" w:space="0" w:color="auto"/>
            <w:left w:val="none" w:sz="0" w:space="0" w:color="auto"/>
            <w:bottom w:val="none" w:sz="0" w:space="0" w:color="auto"/>
            <w:right w:val="none" w:sz="0" w:space="0" w:color="auto"/>
          </w:divBdr>
        </w:div>
        <w:div w:id="2130859093">
          <w:marLeft w:val="0"/>
          <w:marRight w:val="0"/>
          <w:marTop w:val="0"/>
          <w:marBottom w:val="0"/>
          <w:divBdr>
            <w:top w:val="none" w:sz="0" w:space="0" w:color="auto"/>
            <w:left w:val="none" w:sz="0" w:space="0" w:color="auto"/>
            <w:bottom w:val="none" w:sz="0" w:space="0" w:color="auto"/>
            <w:right w:val="none" w:sz="0" w:space="0" w:color="auto"/>
          </w:divBdr>
        </w:div>
        <w:div w:id="1592007519">
          <w:marLeft w:val="0"/>
          <w:marRight w:val="0"/>
          <w:marTop w:val="0"/>
          <w:marBottom w:val="0"/>
          <w:divBdr>
            <w:top w:val="none" w:sz="0" w:space="0" w:color="auto"/>
            <w:left w:val="none" w:sz="0" w:space="0" w:color="auto"/>
            <w:bottom w:val="none" w:sz="0" w:space="0" w:color="auto"/>
            <w:right w:val="none" w:sz="0" w:space="0" w:color="auto"/>
          </w:divBdr>
        </w:div>
        <w:div w:id="596595226">
          <w:marLeft w:val="0"/>
          <w:marRight w:val="0"/>
          <w:marTop w:val="0"/>
          <w:marBottom w:val="0"/>
          <w:divBdr>
            <w:top w:val="none" w:sz="0" w:space="0" w:color="auto"/>
            <w:left w:val="none" w:sz="0" w:space="0" w:color="auto"/>
            <w:bottom w:val="none" w:sz="0" w:space="0" w:color="auto"/>
            <w:right w:val="none" w:sz="0" w:space="0" w:color="auto"/>
          </w:divBdr>
        </w:div>
        <w:div w:id="1628704590">
          <w:marLeft w:val="0"/>
          <w:marRight w:val="0"/>
          <w:marTop w:val="0"/>
          <w:marBottom w:val="0"/>
          <w:divBdr>
            <w:top w:val="none" w:sz="0" w:space="0" w:color="auto"/>
            <w:left w:val="none" w:sz="0" w:space="0" w:color="auto"/>
            <w:bottom w:val="none" w:sz="0" w:space="0" w:color="auto"/>
            <w:right w:val="none" w:sz="0" w:space="0" w:color="auto"/>
          </w:divBdr>
        </w:div>
        <w:div w:id="637999065">
          <w:marLeft w:val="0"/>
          <w:marRight w:val="0"/>
          <w:marTop w:val="0"/>
          <w:marBottom w:val="0"/>
          <w:divBdr>
            <w:top w:val="none" w:sz="0" w:space="0" w:color="auto"/>
            <w:left w:val="none" w:sz="0" w:space="0" w:color="auto"/>
            <w:bottom w:val="none" w:sz="0" w:space="0" w:color="auto"/>
            <w:right w:val="none" w:sz="0" w:space="0" w:color="auto"/>
          </w:divBdr>
        </w:div>
        <w:div w:id="1661690012">
          <w:marLeft w:val="0"/>
          <w:marRight w:val="0"/>
          <w:marTop w:val="0"/>
          <w:marBottom w:val="0"/>
          <w:divBdr>
            <w:top w:val="none" w:sz="0" w:space="0" w:color="auto"/>
            <w:left w:val="none" w:sz="0" w:space="0" w:color="auto"/>
            <w:bottom w:val="none" w:sz="0" w:space="0" w:color="auto"/>
            <w:right w:val="none" w:sz="0" w:space="0" w:color="auto"/>
          </w:divBdr>
        </w:div>
        <w:div w:id="1723678490">
          <w:marLeft w:val="0"/>
          <w:marRight w:val="0"/>
          <w:marTop w:val="0"/>
          <w:marBottom w:val="0"/>
          <w:divBdr>
            <w:top w:val="none" w:sz="0" w:space="0" w:color="auto"/>
            <w:left w:val="none" w:sz="0" w:space="0" w:color="auto"/>
            <w:bottom w:val="none" w:sz="0" w:space="0" w:color="auto"/>
            <w:right w:val="none" w:sz="0" w:space="0" w:color="auto"/>
          </w:divBdr>
        </w:div>
        <w:div w:id="1523860037">
          <w:marLeft w:val="0"/>
          <w:marRight w:val="0"/>
          <w:marTop w:val="0"/>
          <w:marBottom w:val="0"/>
          <w:divBdr>
            <w:top w:val="none" w:sz="0" w:space="0" w:color="auto"/>
            <w:left w:val="none" w:sz="0" w:space="0" w:color="auto"/>
            <w:bottom w:val="none" w:sz="0" w:space="0" w:color="auto"/>
            <w:right w:val="none" w:sz="0" w:space="0" w:color="auto"/>
          </w:divBdr>
        </w:div>
        <w:div w:id="1606498961">
          <w:marLeft w:val="0"/>
          <w:marRight w:val="0"/>
          <w:marTop w:val="0"/>
          <w:marBottom w:val="0"/>
          <w:divBdr>
            <w:top w:val="none" w:sz="0" w:space="0" w:color="auto"/>
            <w:left w:val="none" w:sz="0" w:space="0" w:color="auto"/>
            <w:bottom w:val="none" w:sz="0" w:space="0" w:color="auto"/>
            <w:right w:val="none" w:sz="0" w:space="0" w:color="auto"/>
          </w:divBdr>
        </w:div>
        <w:div w:id="1875575482">
          <w:marLeft w:val="0"/>
          <w:marRight w:val="0"/>
          <w:marTop w:val="0"/>
          <w:marBottom w:val="0"/>
          <w:divBdr>
            <w:top w:val="none" w:sz="0" w:space="0" w:color="auto"/>
            <w:left w:val="none" w:sz="0" w:space="0" w:color="auto"/>
            <w:bottom w:val="none" w:sz="0" w:space="0" w:color="auto"/>
            <w:right w:val="none" w:sz="0" w:space="0" w:color="auto"/>
          </w:divBdr>
        </w:div>
        <w:div w:id="458769916">
          <w:marLeft w:val="0"/>
          <w:marRight w:val="0"/>
          <w:marTop w:val="0"/>
          <w:marBottom w:val="0"/>
          <w:divBdr>
            <w:top w:val="none" w:sz="0" w:space="0" w:color="auto"/>
            <w:left w:val="none" w:sz="0" w:space="0" w:color="auto"/>
            <w:bottom w:val="none" w:sz="0" w:space="0" w:color="auto"/>
            <w:right w:val="none" w:sz="0" w:space="0" w:color="auto"/>
          </w:divBdr>
        </w:div>
        <w:div w:id="1904757059">
          <w:blockQuote w:val="1"/>
          <w:marLeft w:val="0"/>
          <w:marRight w:val="0"/>
          <w:marTop w:val="0"/>
          <w:marBottom w:val="300"/>
          <w:divBdr>
            <w:top w:val="none" w:sz="0" w:space="0" w:color="auto"/>
            <w:left w:val="none" w:sz="0" w:space="0" w:color="auto"/>
            <w:bottom w:val="none" w:sz="0" w:space="0" w:color="auto"/>
            <w:right w:val="none" w:sz="0" w:space="0" w:color="auto"/>
          </w:divBdr>
        </w:div>
        <w:div w:id="871767334">
          <w:blockQuote w:val="1"/>
          <w:marLeft w:val="0"/>
          <w:marRight w:val="0"/>
          <w:marTop w:val="0"/>
          <w:marBottom w:val="300"/>
          <w:divBdr>
            <w:top w:val="none" w:sz="0" w:space="0" w:color="auto"/>
            <w:left w:val="none" w:sz="0" w:space="0" w:color="auto"/>
            <w:bottom w:val="none" w:sz="0" w:space="0" w:color="auto"/>
            <w:right w:val="none" w:sz="0" w:space="0" w:color="auto"/>
          </w:divBdr>
        </w:div>
        <w:div w:id="508083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7820</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2016-12-18T20:15:00Z</dcterms:created>
  <dcterms:modified xsi:type="dcterms:W3CDTF">2016-12-18T20:15:00Z</dcterms:modified>
</cp:coreProperties>
</file>